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pPr>
      <w:r>
        <w:rPr>
          <w:rFonts w:ascii="Times New Roman;serif" w:hAnsi="Times New Roman;serif"/>
          <w:b/>
          <w:color w:val="000000"/>
          <w:sz w:val="27"/>
        </w:rPr>
        <w:t>UNITED STATES SECURITIES AND EXCHANGE COMMISSION</w:t>
      </w:r>
      <w:r>
        <w:rPr>
          <w:rFonts w:ascii="Times New Roman;serif" w:hAnsi="Times New Roman;serif"/>
          <w:b/>
          <w:color w:val="000000"/>
          <w:sz w:val="20"/>
        </w:rPr>
        <w:br/>
        <w:t>Washington, D.C. 20549</w:t>
      </w:r>
    </w:p>
    <w:p>
      <w:pPr>
        <w:pStyle w:val="TextBody"/>
        <w:bidi w:val="0"/>
        <w:spacing w:lineRule="auto" w:line="240" w:before="200" w:after="20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w:t>
        <w:br/>
        <w:t>PURSUANT TO RULE 13a-16 OR 15d-16 UNDER</w:t>
        <w:br/>
        <w:t>THE SECURITIES EXCHANGE ACT OF 1934</w:t>
      </w:r>
    </w:p>
    <w:p>
      <w:pPr>
        <w:pStyle w:val="TextBody"/>
        <w:bidi w:val="0"/>
        <w:spacing w:lineRule="auto" w:line="240" w:before="200" w:after="200"/>
        <w:jc w:val="center"/>
        <w:rPr>
          <w:rFonts w:ascii="Times New Roman;serif" w:hAnsi="Times New Roman;serif"/>
          <w:b/>
          <w:color w:val="000000"/>
          <w:sz w:val="20"/>
        </w:rPr>
      </w:pPr>
      <w:r>
        <w:rPr>
          <w:rFonts w:ascii="Times New Roman;serif" w:hAnsi="Times New Roman;serif"/>
          <w:b/>
          <w:color w:val="000000"/>
          <w:sz w:val="20"/>
        </w:rPr>
        <w:t>Report on Form 6-K dated July 30, 2026</w:t>
      </w:r>
    </w:p>
    <w:p>
      <w:pPr>
        <w:pStyle w:val="TextBody"/>
        <w:bidi w:val="0"/>
        <w:spacing w:lineRule="auto" w:line="240" w:before="240" w:after="240"/>
        <w:jc w:val="center"/>
        <w:rPr>
          <w:rFonts w:ascii="Times New Roman;serif" w:hAnsi="Times New Roman;serif"/>
          <w:b/>
          <w:color w:val="000000"/>
          <w:sz w:val="20"/>
        </w:rPr>
      </w:pPr>
      <w:r>
        <w:rPr>
          <w:rFonts w:ascii="Times New Roman;serif" w:hAnsi="Times New Roman;serif"/>
          <w:b/>
          <w:color w:val="000000"/>
          <w:sz w:val="20"/>
        </w:rPr>
        <w:t>Commission File Number: 1-13546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999999"/>
            </w:tcBorders>
            <w:tcMar>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00"/>
        <w:jc w:val="center"/>
        <w:rPr/>
      </w:pPr>
      <w:r>
        <w:rPr>
          <w:rFonts w:ascii="Times New Roman;serif" w:hAnsi="Times New Roman;serif"/>
          <w:b/>
          <w:color w:val="000000"/>
          <w:sz w:val="36"/>
        </w:rPr>
        <w:t>STMicroelectronics N.V.</w:t>
        <w:br/>
      </w:r>
      <w:r>
        <w:rPr>
          <w:rFonts w:ascii="Times New Roman;serif" w:hAnsi="Times New Roman;serif"/>
          <w:b w:val="false"/>
          <w:color w:val="000000"/>
          <w:sz w:val="20"/>
        </w:rPr>
        <w:t>(Name of Registrant)</w:t>
      </w:r>
    </w:p>
    <w:p>
      <w:pPr>
        <w:pStyle w:val="TextBody"/>
        <w:bidi w:val="0"/>
        <w:spacing w:lineRule="auto" w:line="240" w:before="200" w:after="200"/>
        <w:jc w:val="center"/>
        <w:rPr>
          <w:rFonts w:ascii="Times New Roman;serif" w:hAnsi="Times New Roman;serif"/>
          <w:b w:val="false"/>
          <w:color w:val="000000"/>
          <w:sz w:val="20"/>
        </w:rPr>
      </w:pPr>
      <w:r>
        <w:rPr>
          <w:rFonts w:ascii="Times New Roman;serif" w:hAnsi="Times New Roman;serif"/>
          <w:b w:val="false"/>
          <w:color w:val="000000"/>
          <w:sz w:val="20"/>
        </w:rPr>
        <w:t>WTC Schiphol Airport</w:t>
        <w:br/>
        <w:t>Schiphol Boulevard 265</w:t>
        <w:br/>
        <w:t>1118 BH Schiphol Airport</w:t>
        <w:br/>
        <w:t>The Netherlands</w:t>
        <w:br/>
        <w:t>(Address of Principal Executive Offices)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999999"/>
            </w:tcBorders>
            <w:tcMar>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68" w:before="0" w:after="120"/>
        <w:jc w:val="center"/>
        <w:rPr/>
      </w:pPr>
      <w:r>
        <w:rPr>
          <w:rFonts w:ascii="Times New Roman;serif" w:hAnsi="Times New Roman;serif"/>
          <w:b w:val="false"/>
          <w:color w:val="000000"/>
          <w:sz w:val="20"/>
        </w:rPr>
        <w:t xml:space="preserve">Form 20-F </w:t>
      </w:r>
      <w:r>
        <w:rPr>
          <w:rFonts w:ascii="Wingdings 2;sans-serif" w:hAnsi="Wingdings 2;sans-serif"/>
          <w:b w:val="false"/>
          <w:color w:val="000000"/>
          <w:sz w:val="20"/>
        </w:rPr>
        <w:t>T</w:t>
      </w:r>
      <w:r>
        <w:rPr>
          <w:color w:val="000000"/>
        </w:rPr>
        <w:t>        </w:t>
      </w:r>
      <w:r>
        <w:rPr>
          <w:rFonts w:ascii="Times New Roman;serif" w:hAnsi="Times New Roman;serif"/>
          <w:b w:val="false"/>
          <w:color w:val="000000"/>
          <w:sz w:val="20"/>
        </w:rPr>
        <w:t xml:space="preserve">Form 40-F </w:t>
      </w:r>
      <w:r>
        <w:rPr>
          <w:rFonts w:ascii="Wingdings 2;sans-serif" w:hAnsi="Wingdings 2;sans-serif"/>
          <w:b w:val="false"/>
          <w:color w:val="000000"/>
          <w:sz w:val="20"/>
        </w:rPr>
        <w:t>£</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 permitted by Regulation S-T Rule 101(b)(1):</w:t>
      </w:r>
    </w:p>
    <w:p>
      <w:pPr>
        <w:pStyle w:val="TextBody"/>
        <w:bidi w:val="0"/>
        <w:spacing w:lineRule="auto" w:line="268" w:before="0" w:after="120"/>
        <w:jc w:val="center"/>
        <w:rPr/>
      </w:pPr>
      <w:r>
        <w:rPr>
          <w:rFonts w:ascii="Times New Roman;serif" w:hAnsi="Times New Roman;serif"/>
          <w:b w:val="false"/>
          <w:color w:val="000000"/>
          <w:sz w:val="20"/>
        </w:rPr>
        <w:t xml:space="preserve">Yes </w:t>
      </w:r>
      <w:r>
        <w:rPr>
          <w:rFonts w:ascii="Wingdings 2;sans-serif" w:hAnsi="Wingdings 2;sans-serif"/>
          <w:b w:val="false"/>
          <w:color w:val="000000"/>
          <w:sz w:val="20"/>
        </w:rPr>
        <w:t>£</w:t>
      </w:r>
      <w:r>
        <w:rPr>
          <w:color w:val="000000"/>
        </w:rPr>
        <w:t>        </w:t>
      </w:r>
      <w:r>
        <w:rPr>
          <w:rFonts w:ascii="Times New Roman;serif" w:hAnsi="Times New Roman;serif"/>
          <w:b w:val="false"/>
          <w:color w:val="000000"/>
          <w:sz w:val="20"/>
        </w:rPr>
        <w:t>No </w:t>
      </w:r>
      <w:r>
        <w:rPr>
          <w:rFonts w:ascii="Wingdings 2;sans-serif" w:hAnsi="Wingdings 2;sans-serif"/>
          <w:b w:val="false"/>
          <w:color w:val="000000"/>
          <w:sz w:val="20"/>
        </w:rPr>
        <w:t>T</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 permitted by Regulation S-T Rule 101(b)(7):</w:t>
      </w:r>
    </w:p>
    <w:p>
      <w:pPr>
        <w:pStyle w:val="TextBody"/>
        <w:bidi w:val="0"/>
        <w:spacing w:lineRule="auto" w:line="268" w:before="0" w:after="120"/>
        <w:jc w:val="center"/>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r>
        <w:rPr>
          <w:rFonts w:ascii="Wingdings 2;sans-serif" w:hAnsi="Wingdings 2;sans-serif"/>
          <w:b w:val="false"/>
          <w:color w:val="000000"/>
          <w:sz w:val="20"/>
        </w:rPr>
        <w:t>T</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268" w:before="0" w:after="200"/>
        <w:jc w:val="center"/>
        <w:rPr/>
      </w:pP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r>
        <w:rPr>
          <w:color w:val="000000"/>
        </w:rPr>
        <w:t xml:space="preserve"> </w:t>
      </w:r>
      <w:r>
        <w:rPr>
          <w:rFonts w:ascii="Wingdings 2;sans-serif" w:hAnsi="Wingdings 2;sans-serif"/>
          <w:b w:val="false"/>
          <w:color w:val="000000"/>
          <w:sz w:val="20"/>
        </w:rPr>
        <w:t>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 82- __________</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Enclosure: STMicroelectronics N.V.’s Second Quarter and Six Months ended June 27, 2026:</w:t>
      </w:r>
    </w:p>
    <w:p>
      <w:pPr>
        <w:pStyle w:val="TextBody"/>
        <w:bidi w:val="0"/>
        <w:spacing w:lineRule="auto" w:line="268" w:before="0" w:after="200"/>
        <w:ind w:left="0" w:right="0" w:hanging="720"/>
        <w:jc w:val="both"/>
        <w:rPr/>
      </w:pPr>
      <w:r>
        <w:rPr>
          <w:color w:val="000000"/>
        </w:rPr>
        <w:t>•</w:t>
      </w:r>
      <w:r>
        <w:rPr>
          <w:rFonts w:ascii="Times New Roman;serif" w:hAnsi="Times New Roman;serif"/>
          <w:b w:val="false"/>
          <w:color w:val="000000"/>
          <w:sz w:val="20"/>
        </w:rPr>
        <w:t>Operating and Financial Review and Prospects;</w:t>
      </w:r>
    </w:p>
    <w:p>
      <w:pPr>
        <w:pStyle w:val="TextBody"/>
        <w:bidi w:val="0"/>
        <w:spacing w:lineRule="auto" w:line="268" w:before="0" w:after="200"/>
        <w:ind w:left="0" w:right="0" w:hanging="720"/>
        <w:jc w:val="both"/>
        <w:rPr/>
      </w:pPr>
      <w:r>
        <w:rPr>
          <w:color w:val="000000"/>
        </w:rPr>
        <w:t>•</w:t>
      </w:r>
      <w:r>
        <w:rPr>
          <w:rFonts w:ascii="Times New Roman;serif" w:hAnsi="Times New Roman;serif"/>
          <w:b w:val="false"/>
          <w:color w:val="000000"/>
          <w:sz w:val="20"/>
        </w:rPr>
        <w:t>Unaudited Interim Consolidated Statements of Income, Statements of Comprehensive Income, Balance Sheets, Statements of Equity and Statements of Cash Flows and related Notes for the three and six months ended June 27, 2026; and</w:t>
      </w:r>
    </w:p>
    <w:p>
      <w:pPr>
        <w:pStyle w:val="TextBody"/>
        <w:bidi w:val="0"/>
        <w:spacing w:lineRule="auto" w:line="268" w:before="0" w:after="120"/>
        <w:ind w:left="0" w:right="0" w:hanging="720"/>
        <w:jc w:val="both"/>
        <w:rPr/>
      </w:pPr>
      <w:r>
        <w:rPr>
          <w:color w:val="000000"/>
        </w:rPr>
        <w:t>•</w:t>
      </w:r>
      <w:r>
        <w:rPr>
          <w:rFonts w:ascii="Times New Roman;serif" w:hAnsi="Times New Roman;serif"/>
          <w:b w:val="false"/>
          <w:color w:val="000000"/>
          <w:sz w:val="20"/>
        </w:rPr>
        <w:t>Certifications pursuant to Sections 302 (Exhibits 12.1 and 12.2) and 906 (Exhibit 13.1) of the Sarbanes-Oxley Act of 2002, submitted to the Commission on a voluntary basis.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OPERATING AND FINANCIAL REVIEW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68" w:before="0" w:after="240"/>
        <w:jc w:val="both"/>
        <w:rPr/>
      </w:pPr>
      <w:r>
        <w:rPr>
          <w:rFonts w:ascii="Times New Roman;serif" w:hAnsi="Times New Roman;serif"/>
          <w:b w:val="false"/>
          <w:i/>
          <w:color w:val="000000"/>
          <w:sz w:val="20"/>
        </w:rPr>
        <w:t xml:space="preserve">The following discussion should be read in conjunction with our Unaudited Interim Consolidated Statements of Income, Statements of Comprehensive Income, Balance Sheets, Statements of Equity and Statements of Cash Flows as of June 27, 2026 and for the three and six months ended June 27, 2026 and Notes thereto included elsewhere in this Form 6-K, and our annual report on Form 20-F as of December 31, 2025 and for the year ended December 31, 2025 as filed with the U.S. Securities and Exchange Commission (the “Commission” or the “SEC”) on </w:t>
      </w:r>
      <w:r>
        <w:rPr>
          <w:rFonts w:ascii="Times New Roman;serif" w:hAnsi="Times New Roman;serif"/>
          <w:b w:val="false"/>
          <w:i/>
          <w:color w:val="000000"/>
          <w:sz w:val="20"/>
          <w:shd w:fill="FFFFFF" w:val="clear"/>
        </w:rPr>
        <w:t>February 26, 2026</w:t>
      </w:r>
      <w:r>
        <w:rPr>
          <w:color w:val="000000"/>
        </w:rPr>
        <w:t xml:space="preserve"> </w:t>
      </w:r>
      <w:r>
        <w:rPr>
          <w:rFonts w:ascii="Times New Roman;serif" w:hAnsi="Times New Roman;serif"/>
          <w:b w:val="false"/>
          <w:i/>
          <w:color w:val="000000"/>
          <w:sz w:val="20"/>
        </w:rPr>
        <w:t>(the “Form 20-F”). The following discussion contains statements of future expectations and other forward-looking statements within the meaning of Section 27A of the Securities Act of 1933, or Section 21E of the Securities Exchange Act of 1934, each as amended, particularly in the sections “Business Overview” and “Liquidity and Capital Resources—Financial Outlook: Capital Investment”. Our actual results may differ significantly from those projected in the forward-looking statements. For a discussion of factors that might cause future actual results to differ materially from our recent results or those projected in the forward-looking statements in addition to the factors set forth below, see “Cautionary Note Regarding Forward-Looking Statements” and “Item 3. Key Information—Risk Factors” included in the Form 20-F. We assume no obligation to update the forward-looking statements or such risk factors.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Financial Position and Results of Operations (“MD&amp;A”) is provided in addition to the accompanying Unaudited Interim Consolidated Financial Statements (“Consolidated Financial Statements”) and Notes to assist readers in understanding our results of operations, financial condition and cash flows. Our MD&amp;A is organized as follows: </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 xml:space="preserve">Critical Accounting Policies using Significant Estimates. </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Business Overview, a discussion of our business and overall analysis of financial and other relevant highlights for the three and six months ended June 27, 2026, designed to provide context for the other sections of the MD&amp;A, including our expectations for selected financial items for the third quarter of 2026.</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Other Developments.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Results of Operations, containing a year-over-year and sequential analysis of our financial results for the three and six months ended June 27, 2026, as well as segment information.</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Legal Proceedings.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Discussion on the impact of changes in exchange rates, interest rates and equity prices on our activity and financial results.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Liquidity and Capital Resources, presenting an analysis of changes in our balance sheets and cash flows, and discussing our financial condition and potential sources of liquidity.</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Impact of Recently Issued U.S. Accounting Standards.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Backlog and Customers, discussing the level of backlog and sales to our key customers.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Disclosure Controls and Procedures.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Other reviews.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Cautionary Note Regarding Forward-Looking Statements.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At ST, we are 49,000 creators and makers of semiconductor technologies mastering the semiconductor supply chain with state-of-the-art manufacturing facilities. As an integrated device manufacturer, we work with more than 200,000 customers and thousands of partners to design and build products, solutions, and ecosystems that address their challenges and opportunities, and the need to enable and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Critical Accounting Policies Using Significant Estimates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the first six months of 2026 to the information provided under the heading “Critical Accounting Policies Using Significant Estimates” included in our Form 20-F for the year ended December 31, 2025, as described in Note 5, Recent Accounting Pronouncements, of the Consolidated Financial Statements for the three and six months ended June 27, 2026.</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Fiscal Year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Under Article 35 of our Articles of Association, our fiscal year extends from January 1 to December 31. The first quarter of 2026 ended on March 28 and the second quarter ended on June 27. The third quarter will end on September 26 and the fourth quarter will end on December 31, 2026. Based on our fiscal calendar, the distribution of our revenues and expenses by quarter may be unbalanced due to a different number of days in the various quarters of the fiscal year and can also differ from equivalent prior-years’ periods, as illustrated in the below table for the years 2026 and 2025.</w:t>
      </w:r>
    </w:p>
    <w:p>
      <w:pPr>
        <w:pStyle w:val="TextBody"/>
        <w:bidi w:val="0"/>
        <w:spacing w:before="0" w:after="240"/>
        <w:jc w:val="both"/>
        <w:rPr/>
      </w:pPr>
      <w:r>
        <w:rPr/>
      </w:r>
    </w:p>
    <w:tbl>
      <w:tblPr>
        <w:tblW w:w="2030" w:type="dxa"/>
        <w:jc w:val="left"/>
        <w:tblInd w:w="0" w:type="dxa"/>
        <w:tblLayout w:type="fixed"/>
        <w:tblCellMar>
          <w:top w:w="28" w:type="dxa"/>
          <w:left w:w="28" w:type="dxa"/>
          <w:bottom w:w="28" w:type="dxa"/>
          <w:right w:w="28" w:type="dxa"/>
        </w:tblCellMar>
      </w:tblPr>
      <w:tblGrid>
        <w:gridCol w:w="196"/>
        <w:gridCol w:w="172"/>
        <w:gridCol w:w="173"/>
        <w:gridCol w:w="120"/>
        <w:gridCol w:w="120"/>
        <w:gridCol w:w="121"/>
        <w:gridCol w:w="120"/>
        <w:gridCol w:w="120"/>
        <w:gridCol w:w="121"/>
        <w:gridCol w:w="120"/>
        <w:gridCol w:w="120"/>
        <w:gridCol w:w="121"/>
        <w:gridCol w:w="118"/>
        <w:gridCol w:w="118"/>
        <w:gridCol w:w="17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Q1</w:t>
            </w:r>
          </w:p>
        </w:tc>
        <w:tc>
          <w:tcPr>
            <w:tcW w:w="3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w:t>
            </w:r>
          </w:p>
        </w:tc>
        <w:tc>
          <w:tcPr>
            <w:tcW w:w="3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Q3</w:t>
            </w:r>
          </w:p>
        </w:tc>
        <w:tc>
          <w:tcPr>
            <w:tcW w:w="4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Days</w:t>
            </w:r>
          </w:p>
        </w:tc>
      </w:tr>
      <w:tr>
        <w:trPr/>
        <w:tc>
          <w:tcPr>
            <w:tcW w:w="54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6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6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40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for each period were as follows:</w:t>
      </w:r>
    </w:p>
    <w:tbl>
      <w:tblPr>
        <w:tblW w:w="10205" w:type="dxa"/>
        <w:jc w:val="left"/>
        <w:tblInd w:w="0" w:type="dxa"/>
        <w:tblLayout w:type="fixed"/>
        <w:tblCellMar>
          <w:top w:w="28" w:type="dxa"/>
          <w:left w:w="28" w:type="dxa"/>
          <w:bottom w:w="28" w:type="dxa"/>
          <w:right w:w="28" w:type="dxa"/>
        </w:tblCellMar>
      </w:tblPr>
      <w:tblGrid>
        <w:gridCol w:w="1198"/>
        <w:gridCol w:w="1041"/>
        <w:gridCol w:w="103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307"/>
        <w:gridCol w:w="309"/>
        <w:gridCol w:w="476"/>
        <w:gridCol w:w="109"/>
        <w:gridCol w:w="109"/>
        <w:gridCol w:w="109"/>
        <w:gridCol w:w="281"/>
        <w:gridCol w:w="282"/>
        <w:gridCol w:w="351"/>
      </w:tblGrid>
      <w:tr>
        <w:trPr/>
        <w:tc>
          <w:tcPr>
            <w:tcW w:w="11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Variation</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(as percentage of net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bps</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 (as percentage of net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bps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bps</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parent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605" cy="14605"/>
                <wp:effectExtent l="0" t="0" r="0" b="0"/>
                <wp:wrapNone/>
                <wp:docPr id="3" name="Frame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Non-U.S. GAAP measures on earnings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income before impairment, restructuring charges and other related phase-out costs, and other certain items, is used by management to help enhance an understanding of ongoing operations and to communicate the impact of the excluded items, such as impairment, restructuring charges and other related phase-out costs, and Purchase Price Allocation (PPA) effects in case of business combinations. Non-U.S. GAAP gross profit is also used by management to communicate the impact of PPA effects on gross margin. Adjusted net earnings and earnings per share (EPS) are used by management to help enhance an understanding of ongoing operations and to communicate the impact of the excluded items like impairment, restructuring charges and other related phase-out costs and other certain items, such as PPA effects, net of the relevant income tax impact.</w:t>
      </w:r>
    </w:p>
    <w:tbl>
      <w:tblPr>
        <w:tblW w:w="10205" w:type="dxa"/>
        <w:jc w:val="left"/>
        <w:tblInd w:w="0" w:type="dxa"/>
        <w:tblLayout w:type="fixed"/>
        <w:tblCellMar>
          <w:top w:w="28" w:type="dxa"/>
          <w:left w:w="28" w:type="dxa"/>
          <w:bottom w:w="28" w:type="dxa"/>
          <w:right w:w="28" w:type="dxa"/>
        </w:tblCellMar>
      </w:tblPr>
      <w:tblGrid>
        <w:gridCol w:w="1834"/>
        <w:gridCol w:w="1576"/>
        <w:gridCol w:w="1582"/>
        <w:gridCol w:w="218"/>
        <w:gridCol w:w="653"/>
        <w:gridCol w:w="112"/>
        <w:gridCol w:w="109"/>
        <w:gridCol w:w="109"/>
        <w:gridCol w:w="109"/>
        <w:gridCol w:w="352"/>
        <w:gridCol w:w="806"/>
        <w:gridCol w:w="182"/>
        <w:gridCol w:w="109"/>
        <w:gridCol w:w="109"/>
        <w:gridCol w:w="109"/>
        <w:gridCol w:w="237"/>
        <w:gridCol w:w="541"/>
        <w:gridCol w:w="122"/>
        <w:gridCol w:w="109"/>
        <w:gridCol w:w="109"/>
        <w:gridCol w:w="109"/>
        <w:gridCol w:w="237"/>
        <w:gridCol w:w="592"/>
        <w:gridCol w:w="180"/>
      </w:tblGrid>
      <w:tr>
        <w:trPr/>
        <w:tc>
          <w:tcPr>
            <w:tcW w:w="183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992" w:type="dxa"/>
            <w:gridSpan w:val="3"/>
            <w:tcBorders>
              <w:left w:val="single" w:sz="16" w:space="0" w:color="FFFFFF"/>
            </w:tcBorders>
            <w:tcMar>
              <w:top w:w="0" w:type="dxa"/>
              <w:bottom w:w="0" w:type="dxa"/>
              <w:right w:w="0" w:type="dxa"/>
            </w:tcMar>
            <w:vAlign w:val="center"/>
          </w:tcPr>
          <w:p>
            <w:pPr>
              <w:pStyle w:val="TableContents"/>
              <w:bidi w:val="0"/>
              <w:spacing w:before="0" w:after="0"/>
              <w:jc w:val="left"/>
              <w:rPr/>
            </w:pPr>
            <w:r>
              <w:rPr/>
            </w:r>
          </w:p>
        </w:tc>
        <w:tc>
          <w:tcPr>
            <w:tcW w:w="9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4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27, 2026 </w:t>
            </w:r>
          </w:p>
        </w:tc>
        <w:tc>
          <w:tcPr>
            <w:tcW w:w="52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49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figures, as reported</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1,215</w:t>
            </w: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0.24</w:t>
            </w: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PPA effects of MEMS sensor business acquisition </w:t>
            </w:r>
          </w:p>
        </w:tc>
        <w:tc>
          <w:tcPr>
            <w:tcW w:w="8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effect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GAAP</w:t>
            </w:r>
          </w:p>
        </w:tc>
        <w:tc>
          <w:tcPr>
            <w:tcW w:w="218"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12"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82"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2"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8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5"/>
        <w:gridCol w:w="1576"/>
        <w:gridCol w:w="1581"/>
        <w:gridCol w:w="218"/>
        <w:gridCol w:w="653"/>
        <w:gridCol w:w="112"/>
        <w:gridCol w:w="109"/>
        <w:gridCol w:w="109"/>
        <w:gridCol w:w="109"/>
        <w:gridCol w:w="352"/>
        <w:gridCol w:w="806"/>
        <w:gridCol w:w="182"/>
        <w:gridCol w:w="109"/>
        <w:gridCol w:w="109"/>
        <w:gridCol w:w="109"/>
        <w:gridCol w:w="237"/>
        <w:gridCol w:w="541"/>
        <w:gridCol w:w="122"/>
        <w:gridCol w:w="109"/>
        <w:gridCol w:w="109"/>
        <w:gridCol w:w="109"/>
        <w:gridCol w:w="237"/>
        <w:gridCol w:w="592"/>
        <w:gridCol w:w="180"/>
      </w:tblGrid>
      <w:tr>
        <w:trPr/>
        <w:tc>
          <w:tcPr>
            <w:tcW w:w="1835"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992" w:type="dxa"/>
            <w:gridSpan w:val="3"/>
            <w:tcBorders>
              <w:left w:val="single" w:sz="16" w:space="0" w:color="FFFFFF"/>
            </w:tcBorders>
            <w:tcMar>
              <w:top w:w="0" w:type="dxa"/>
              <w:bottom w:w="0" w:type="dxa"/>
              <w:right w:w="0" w:type="dxa"/>
            </w:tcMar>
            <w:vAlign w:val="center"/>
          </w:tcPr>
          <w:p>
            <w:pPr>
              <w:pStyle w:val="TableContents"/>
              <w:bidi w:val="0"/>
              <w:spacing w:before="0" w:after="0"/>
              <w:jc w:val="left"/>
              <w:rPr/>
            </w:pPr>
            <w:r>
              <w:rPr/>
            </w:r>
          </w:p>
        </w:tc>
        <w:tc>
          <w:tcPr>
            <w:tcW w:w="9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4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Six Months ended June 27, 2026 </w:t>
            </w:r>
          </w:p>
        </w:tc>
        <w:tc>
          <w:tcPr>
            <w:tcW w:w="52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49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figures, as reported</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w:t>
            </w: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w:t>
            </w: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0.28</w:t>
            </w: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PPA effects of MEMS sensor business acquisition </w:t>
            </w:r>
          </w:p>
        </w:tc>
        <w:tc>
          <w:tcPr>
            <w:tcW w:w="8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effect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GAAP</w:t>
            </w:r>
          </w:p>
        </w:tc>
        <w:tc>
          <w:tcPr>
            <w:tcW w:w="218"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12"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2"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22"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8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7"/>
        <w:gridCol w:w="1066"/>
        <w:gridCol w:w="1073"/>
        <w:gridCol w:w="109"/>
        <w:gridCol w:w="109"/>
        <w:gridCol w:w="109"/>
        <w:gridCol w:w="211"/>
        <w:gridCol w:w="616"/>
        <w:gridCol w:w="271"/>
        <w:gridCol w:w="109"/>
        <w:gridCol w:w="109"/>
        <w:gridCol w:w="109"/>
        <w:gridCol w:w="211"/>
        <w:gridCol w:w="616"/>
        <w:gridCol w:w="271"/>
        <w:gridCol w:w="109"/>
        <w:gridCol w:w="109"/>
        <w:gridCol w:w="109"/>
        <w:gridCol w:w="211"/>
        <w:gridCol w:w="511"/>
        <w:gridCol w:w="271"/>
        <w:gridCol w:w="109"/>
        <w:gridCol w:w="109"/>
        <w:gridCol w:w="109"/>
        <w:gridCol w:w="307"/>
        <w:gridCol w:w="309"/>
        <w:gridCol w:w="476"/>
        <w:gridCol w:w="109"/>
        <w:gridCol w:w="109"/>
        <w:gridCol w:w="109"/>
        <w:gridCol w:w="307"/>
        <w:gridCol w:w="309"/>
        <w:gridCol w:w="317"/>
      </w:tblGrid>
      <w:tr>
        <w:trPr/>
        <w:tc>
          <w:tcPr>
            <w:tcW w:w="1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Variation</w:t>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3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Non-U.S. GAAP measures on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bps</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bps</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Our reportable segments are as follows: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Analog products, MEMS and Sensors (“AM&amp;S”),</w:t>
      </w:r>
      <w:r>
        <w:rPr>
          <w:color w:val="000000"/>
        </w:rPr>
        <w:t xml:space="preserve"> </w:t>
      </w:r>
      <w:r>
        <w:rPr>
          <w:rFonts w:ascii="Times New Roman;serif" w:hAnsi="Times New Roman;serif"/>
          <w:b w:val="false"/>
          <w:color w:val="000000"/>
          <w:sz w:val="20"/>
        </w:rPr>
        <w:t>comprised of analog products, MEMS sensors and actuators, and optical sensing solutions.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Power and discrete products (“P&amp;D”),</w:t>
      </w:r>
      <w:r>
        <w:rPr>
          <w:color w:val="000000"/>
        </w:rPr>
        <w:t xml:space="preserve"> </w:t>
      </w:r>
      <w:r>
        <w:rPr>
          <w:rFonts w:ascii="Times New Roman;serif" w:hAnsi="Times New Roman;serif"/>
          <w:b w:val="false"/>
          <w:color w:val="000000"/>
          <w:sz w:val="20"/>
        </w:rPr>
        <w:t>comprised of discrete and power transistor products</w:t>
      </w:r>
      <w:r>
        <w:rPr>
          <w:rFonts w:ascii="Arial;sans-serif" w:hAnsi="Arial;sans-serif"/>
          <w:b w:val="false"/>
          <w:color w:val="000000"/>
          <w:sz w:val="20"/>
        </w:rPr>
        <w:t>.</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Embedded Processing (“EMP”),</w:t>
      </w:r>
      <w:r>
        <w:rPr>
          <w:color w:val="000000"/>
        </w:rPr>
        <w:t xml:space="preserve"> </w:t>
      </w:r>
      <w:r>
        <w:rPr>
          <w:rFonts w:ascii="Times New Roman;serif" w:hAnsi="Times New Roman;serif"/>
          <w:b w:val="false"/>
          <w:color w:val="000000"/>
          <w:sz w:val="20"/>
        </w:rPr>
        <w:t>comprised of general-purpose and automotive microcontrollers, connected security products and Custom Processing Products (Automotive ADAS).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RF Optical Communications (“RFOC”)</w:t>
      </w:r>
      <w:r>
        <w:rPr>
          <w:rFonts w:ascii="Times New Roman;serif" w:hAnsi="Times New Roman;serif"/>
          <w:b w:val="false"/>
          <w:color w:val="000000"/>
          <w:sz w:val="20"/>
        </w:rPr>
        <w:t>, comprised of Space, Ranging &amp; Connectivity products, Digital Audio &amp; Signaling Solutions and Optical &amp; RF COT.</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second quarter 2026 net revenues amounted to $3,487 million, increasing sequentially 12.7%, 110 basis points better than the mid-point of our business outlook range, driven by higher revenues in CECP and Automotive.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a sequential basis, Analog products, MEMS and Sensors (“AM&amp;S”) segment revenues increased 8.2%, Power and discrete products (“P&amp;D”) segment revenues increased 19.2%, Embedded Processing (“EMP”) segment revenues increased 17.7% and RF Optical Communications (“RFOC”) segment revenues increased 8.6%.</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On a year-over-year basis, second quarter net revenues increased 26.0%, with AM&amp;S, EMP, RFOC and P&amp;D revenues increasing by 26.0%, 35.5%, 32.0% and 3.7%,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effective average exchange rate for the second quarter of 2026 was $1.16 for €1.00, compared to $1.16 in the first quarter of 2026 and $1.09 in the second quarter of 2025. For a more detailed discussion of our hedging arrangements and the impact of fluctuations in exchange rates, see “Impact of Changes in Exchange Rates”.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second quarter of 2026 gross profit was $1,215 million and gross margin was 34.8% increasing 100 basis points sequentially from 33.8%, in line with the mid-point of our business outlook range. Gross margin increased 130 basis points year-over-year, mainly due to lower unused capacity charges and better product mix. Gross profit included $14 million Purchase Price Allocation (PPA) effects from the acquisition of MEMS sensor business. Non-U.S. GAAP gross margin, excluding this item, was 35.2%, in line with the mid-point of our guidance.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 sequential basis, non-U.S. GAAP gross margin increased by 110 basis points, mainly due to lower unused capacity charges and a more favorable product mix, partially offset by lower manufacturing efficiencies and higher inflationary pressure on COGS. On a year-over-year basis, non-U.S. GAAP gross margin increased 170 basis points, mainly due to lower unused capacity charges and better product mix.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aggregated selling, general &amp; administrative (“SG&amp;A”) and research &amp; development (“R&amp;D”) expenses amounted to $995 million, compared to $949 million and $934 million in the prior and year-ago quarters, respectively. Operating expenses included $10 million of PPA effects, of which $7 million recorded as SG&amp;A expenses and $3 million recorded as R&amp;D expenses. On a sequential basis, operating expenses increased by $46 million, mainly due to calendar impact, net of vacation and cost of labor. On a year-over-year basis, operating expenses increased by $61 million, mainly due to higher cost of labor and negative currency effects, partially offset by lower discretionary spending.</w:t>
      </w:r>
    </w:p>
    <w:p>
      <w:pPr>
        <w:pStyle w:val="TextBody"/>
        <w:bidi w:val="0"/>
        <w:spacing w:lineRule="auto" w:line="240" w:before="0" w:after="240"/>
        <w:jc w:val="both"/>
        <w:rPr/>
      </w:pPr>
      <w:r>
        <w:rPr>
          <w:rFonts w:ascii="Times New Roman;serif" w:hAnsi="Times New Roman;serif"/>
          <w:b w:val="false"/>
          <w:color w:val="000000"/>
          <w:sz w:val="20"/>
        </w:rPr>
        <w:t>Other income and expenses, net, amounted to $25 million income, decreasing by $20</w:t>
      </w:r>
      <w:r>
        <w:rPr>
          <w:color w:val="000000"/>
          <w:shd w:fill="FFFFFF" w:val="clear"/>
        </w:rPr>
        <w:t xml:space="preserve"> </w:t>
      </w:r>
      <w:r>
        <w:rPr>
          <w:rFonts w:ascii="Times New Roman;serif" w:hAnsi="Times New Roman;serif"/>
          <w:b w:val="false"/>
          <w:color w:val="000000"/>
          <w:sz w:val="20"/>
        </w:rPr>
        <w:t xml:space="preserve">million and by $40 million on a sequential and a year-over-year basis, respectively. The sequential and the year-over-year decrease is mainly due to higher start-up costs. In the second quarter of 2026, we started our manufacturing activities and entered into the ramp-up phase of the new 200mm silicon carbide manufacturing in Catania, Italy and the new 200mm silicon carbide device manufacturing Sanan ST joint venture in Chongqing, China. </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Starting 2025, we engaged in a company-wide program aimed to reshape our manufacturing footprint by accelerating the wafer fab capacity to 300mm silicon (Agrate, Italy and Crolles, France) and 200mm silicon carbide (Italy and Singapore) and resizing our global cost base. This program is expected to result in strengthening our capability to grow revenues with an improved operating efficiency.</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 totaled $58 million in the second quarter of 2026, including $36 million of restructuring charges, of which $26 million for labor-related costs and $10 million for non-labor related costs. We also recorded $22 million of phase-out costs. In the second quarter of 2025, restructuring charges totaled $190 million of which $133 million impairment charges following the launch in the second quarter of 2025 of the manufacturing reshaping program.</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our operating income increased to $187 million, equivalent to 5.4% of net revenues, compared to an operating income of $70 million (2.3% of net revenues) in the prior quarter, and increased from an operating loss of $133 million (4.8% of net revenues) in the year-ago quarter.</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income included $58 million impairment, restructuring charges and other related phase-out costs for the quarter, mainly reflecting charges related to the execution of the previously announced company-wide program to reshape our manufacturing footprint and resize our global cost base and $24 million PPA effects from the acquisition of MEMS sensor business. Excluding these items, non-U.S. GAAP operating income amounted to $269 million compared to $171 million and $57 million in the prior and year-ago quarters, respectively. On a sequential and a year-over-year basis, non-U.S. GAAP operating income increased by $98 million and $212 million, respectively mainly due to increased gross profit profitability, partially offset by higher operating expenses and start-up costs.</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our net cash from operating activities amounted to $502 million. Our net cash used in investing activities was at $686 million compared to $1,874 million and $332 million during prior and year-ago quarters, respectively. Net Capex (non-U.S. GAAP measure) amounted to $409 million in the second quarter of 2026, and $362 million and $465 million in the prior and year-ago quarters,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free cash flow, a non-U.S. GAAP measure, was positive at $75 million in the second quarter of 2026 compared to a negative $723 million and a negative $152 million in the prior and year-ago quarters, respectively. Refer to “Liquidity and Capital Resources” for the reconciliation of the free cash flow, a non-U.S. GAAP measure, to our consolidated Statements of Cash Flows.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Looking at the third quarter, we expect a revenue increase of approximately 6.7% sequentially, plus or minus 350 basis points. U.S. GAAP gross margin is expected to be approximately 37.0%, plus or minus 200 basis points.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This business outlook does not include any impact for potential further changes to global trade tariffs compared to the current situation.</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This outlook is based on an assumed effective currency exchange rate of approximately $1.14 = €1.00 for the third quarter of 2026 and includes the impact of existing hedging contracts. The third quarter will close on September 26, 2026.</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These are forward-looking statements that are subject to known and unknown risks and uncertainties that could cause actual results to differ materially; in particular, refer to those known risks and uncertainties described in “Cautionary Note Regarding Forward-Looking Statements” and Item 3. “Key Information — Risk Factors” in our Form 20-F as may be updated from time to time in our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Other Developments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16, 2026, we announced the launch and pricing of a $1.5 billion offering of senior unsecured bonds convertible into new or existing ordinary shares of the Company, to be issued in two tranches of $750 million each, with maturities of 5 and 7 years, respectively; that the terms of the bonds contain customary provisions that will allow us to satisfy conversion rights with a combination of cash and shares, or with cash or shares only, including, unless we elect otherwise, by way of net share settlement; and, that we expect to use the net proceeds from the offering for general corporate purposes, including the early redemption of our outstanding $750 million Zero Coupon Convertible Bonds due 2027. We also announced our intention to early redeem our outstanding $750 million Zero Coupon Convertible Bonds due 2027 through the payment of cash for the principal amount and the residual consideration through the delivery of treasury shares.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2, 2026, we announced that in light of continued strong AI infrastructure-led demand, and based on our recent progress made on capacity ramp-up, we were raising our revenue ambition for Data Centers, and that Data Center revenues are expected at about $1 billion in 2026 (compared to “nicely above $500 million” expected previously), and assuming the current dynamic continues and with the current engagements we have, revenues could double in 2027 (compared to “well above $1 billion” expected previously).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May 27, 2026, we held our Annual General Meeting of Shareholders (AGM) in Amsterdam, the Netherlands. The proposed resolutions, all approved by the Shareholders, were: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adoption of the Company's Statutory Annual Accounts for the year ended December 31, 2025, prepared in accordance with International Financial Reporting Standards (IFRS) and filed with the Netherlands Authority for the Financial Markets (AFM) on March 26, 2026;</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distribution of a cash dividend of US$ 0.36 per outstanding share of the Company’s common stock, to be distributed in quarterly installments of US$ 0.09 in each of the second, third and fourth quarters of 2026 and first quarter of 2027 to shareholders of record in the month of each quarterly payment;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reappointment of Mr. Frédéric Sanchez, as member of the Supervisory Board, for a three-year term expiring at the end of the 2029 AGM;</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approval of the stock-based portion of the compensation of the President and CEO;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approval of the stock-based portion of the compensation of the President and CFO;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authorization to the Managing Board, until the conclusion of the 2027 AGM, to repurchase shares, subject to the approval of the Supervisory Board;</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delegation to the Supervisory Board of the authority to issue new common shares, to grant rights to subscribe for such shares, and to limit and/or exclude existing shareholders’ pre-emptive rights on common shares, until the end of the 2027 AGM;</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discharge of the members of the Managing Board; and</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discharge of the members of the Supervisory Board.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also announced that following the conclusion of our AGM, the members of our Supervisory Board appointed Mr. Armando Varricchio as the Chairman, and Mr. Nicolas Dufourcq as the Vice-Chairman, of the Supervisory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design, develop, manufacture and market a broad range of products, including discrete and standard commodity components, application-specific integrated circuits (“ASICs”), full-custom devices and semi-custom devices and application-specific standard products (“ASSPs”) for analog, digital and mixed-signal applications. In addition, we participate in the manufacturing value chain of smartcard products, which includes the production and sale of both silicon chips and smartcards.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reportable segments are as follows: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Analog products, MEMS and Sensors (“AM&amp;S”),</w:t>
      </w:r>
      <w:r>
        <w:rPr>
          <w:color w:val="000000"/>
        </w:rPr>
        <w:t xml:space="preserve"> </w:t>
      </w:r>
      <w:r>
        <w:rPr>
          <w:rFonts w:ascii="Times New Roman;serif" w:hAnsi="Times New Roman;serif"/>
          <w:b w:val="false"/>
          <w:color w:val="000000"/>
          <w:sz w:val="20"/>
        </w:rPr>
        <w:t>comprised of analog products, MEMS sensors and actuators, and optical sensing solutions.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Power and discrete products (“P&amp;D”),</w:t>
      </w:r>
      <w:r>
        <w:rPr>
          <w:color w:val="000000"/>
        </w:rPr>
        <w:t xml:space="preserve"> </w:t>
      </w:r>
      <w:r>
        <w:rPr>
          <w:rFonts w:ascii="Times New Roman;serif" w:hAnsi="Times New Roman;serif"/>
          <w:b w:val="false"/>
          <w:color w:val="000000"/>
          <w:sz w:val="20"/>
        </w:rPr>
        <w:t>comprised of discrete and power transistor products</w:t>
      </w:r>
      <w:r>
        <w:rPr>
          <w:rFonts w:ascii="Arial;sans-serif" w:hAnsi="Arial;sans-serif"/>
          <w:b w:val="false"/>
          <w:color w:val="000000"/>
          <w:sz w:val="20"/>
        </w:rPr>
        <w:t>.</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Embedded Processing (“EMP”),</w:t>
      </w:r>
      <w:r>
        <w:rPr>
          <w:color w:val="000000"/>
        </w:rPr>
        <w:t xml:space="preserve"> </w:t>
      </w:r>
      <w:r>
        <w:rPr>
          <w:rFonts w:ascii="Times New Roman;serif" w:hAnsi="Times New Roman;serif"/>
          <w:b w:val="false"/>
          <w:color w:val="000000"/>
          <w:sz w:val="20"/>
        </w:rPr>
        <w:t>comprised of general-purpose and automotive microcontrollers, connected security products and Custom Processing Products (Automotive ADAS).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i/>
          <w:color w:val="000000"/>
          <w:sz w:val="20"/>
        </w:rPr>
        <w:t>RF Optical Communications (“RFOC”)</w:t>
      </w:r>
      <w:r>
        <w:rPr>
          <w:rFonts w:ascii="Times New Roman;serif" w:hAnsi="Times New Roman;serif"/>
          <w:b w:val="false"/>
          <w:color w:val="000000"/>
          <w:sz w:val="20"/>
        </w:rPr>
        <w:t>, comprised of Space, Ranging &amp; Connectivity products, Digital Audio &amp; Signaling Solutions and Optical &amp; RF COT.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revenues of “Others” include revenues from sales assembly services and other revenues. For the computation of the segments’ internal financial measurements, we use certain internal rules of allocation for the costs not directly chargeable to the segments, including cost of sales, SG&amp;A expenses and a part of R&amp;D expenses. In compliance with our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operating earnings of other products, as well as the effects of purchase price allocation in case of business acquisitions.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Wafer costs are allocated to the reportable segments based on actual cost. From time to time, with respect to specific technologies, wafer costs are allocated to reportable segments based on market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Second Quarter 2026 vs. First Quarter 2026 and Second Quarter 2025</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financial data from our Unaudited Interim Consolidated Statements of Income: </w:t>
      </w:r>
    </w:p>
    <w:tbl>
      <w:tblPr>
        <w:tblW w:w="10205" w:type="dxa"/>
        <w:jc w:val="left"/>
        <w:tblInd w:w="0" w:type="dxa"/>
        <w:tblLayout w:type="fixed"/>
        <w:tblCellMar>
          <w:top w:w="28" w:type="dxa"/>
          <w:left w:w="28" w:type="dxa"/>
          <w:bottom w:w="28" w:type="dxa"/>
          <w:right w:w="28" w:type="dxa"/>
        </w:tblCellMar>
      </w:tblPr>
      <w:tblGrid>
        <w:gridCol w:w="1173"/>
        <w:gridCol w:w="694"/>
        <w:gridCol w:w="696"/>
        <w:gridCol w:w="109"/>
        <w:gridCol w:w="109"/>
        <w:gridCol w:w="109"/>
        <w:gridCol w:w="211"/>
        <w:gridCol w:w="616"/>
        <w:gridCol w:w="109"/>
        <w:gridCol w:w="109"/>
        <w:gridCol w:w="109"/>
        <w:gridCol w:w="109"/>
        <w:gridCol w:w="255"/>
        <w:gridCol w:w="256"/>
        <w:gridCol w:w="428"/>
        <w:gridCol w:w="109"/>
        <w:gridCol w:w="109"/>
        <w:gridCol w:w="109"/>
        <w:gridCol w:w="211"/>
        <w:gridCol w:w="616"/>
        <w:gridCol w:w="109"/>
        <w:gridCol w:w="109"/>
        <w:gridCol w:w="109"/>
        <w:gridCol w:w="109"/>
        <w:gridCol w:w="255"/>
        <w:gridCol w:w="256"/>
        <w:gridCol w:w="428"/>
        <w:gridCol w:w="109"/>
        <w:gridCol w:w="109"/>
        <w:gridCol w:w="109"/>
        <w:gridCol w:w="211"/>
        <w:gridCol w:w="616"/>
        <w:gridCol w:w="109"/>
        <w:gridCol w:w="109"/>
        <w:gridCol w:w="109"/>
        <w:gridCol w:w="109"/>
        <w:gridCol w:w="255"/>
        <w:gridCol w:w="256"/>
        <w:gridCol w:w="483"/>
      </w:tblGrid>
      <w:tr>
        <w:trPr/>
        <w:tc>
          <w:tcPr>
            <w:tcW w:w="117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5" w:type="dxa"/>
            <w:gridSpan w:val="3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 of U.S.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4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100.0</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33.5</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components of pension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w:t>
              <w:b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parent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Basic earnings per share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Non-U.S. GAAP</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(1)Non-U.S. GAAP. For reconciliation to U.S. GAAP and information explaining why we believe these measures are important, see “Business Overview”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Net revenues</w:t>
      </w:r>
    </w:p>
    <w:tbl>
      <w:tblPr>
        <w:tblW w:w="8026" w:type="dxa"/>
        <w:jc w:val="left"/>
        <w:tblInd w:w="0" w:type="dxa"/>
        <w:tblLayout w:type="fixed"/>
        <w:tblCellMar>
          <w:top w:w="28" w:type="dxa"/>
          <w:left w:w="28" w:type="dxa"/>
          <w:bottom w:w="28" w:type="dxa"/>
          <w:right w:w="28" w:type="dxa"/>
        </w:tblCellMar>
      </w:tblPr>
      <w:tblGrid>
        <w:gridCol w:w="482"/>
        <w:gridCol w:w="422"/>
        <w:gridCol w:w="430"/>
        <w:gridCol w:w="109"/>
        <w:gridCol w:w="109"/>
        <w:gridCol w:w="109"/>
        <w:gridCol w:w="211"/>
        <w:gridCol w:w="631"/>
        <w:gridCol w:w="109"/>
        <w:gridCol w:w="109"/>
        <w:gridCol w:w="109"/>
        <w:gridCol w:w="109"/>
        <w:gridCol w:w="279"/>
        <w:gridCol w:w="836"/>
        <w:gridCol w:w="144"/>
        <w:gridCol w:w="109"/>
        <w:gridCol w:w="109"/>
        <w:gridCol w:w="109"/>
        <w:gridCol w:w="211"/>
        <w:gridCol w:w="631"/>
        <w:gridCol w:w="109"/>
        <w:gridCol w:w="109"/>
        <w:gridCol w:w="109"/>
        <w:gridCol w:w="109"/>
        <w:gridCol w:w="262"/>
        <w:gridCol w:w="264"/>
        <w:gridCol w:w="498"/>
        <w:gridCol w:w="109"/>
        <w:gridCol w:w="109"/>
        <w:gridCol w:w="109"/>
        <w:gridCol w:w="262"/>
        <w:gridCol w:w="264"/>
        <w:gridCol w:w="346"/>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Variation</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3,095</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w:t>
            </w: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26.0</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second quarter 2026 net revenues amounted to $3,487 million, increasing sequentially 12.7%, 110 basis points better than the mid-point of our business outlook range, driven by higher revenues in CECP and Automotive. The increase is mainly due to higher volumes of approximately 15%, partially offset by lower average selling prices of approximately 2%.</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a year-over-year basis, net revenues increased 26.0%, mainly as a result of higher volumes of approximately 22% and higher average selling prices of approximately 4% due to product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Net revenues by reportable segment</w:t>
      </w:r>
    </w:p>
    <w:tbl>
      <w:tblPr>
        <w:tblW w:w="10205" w:type="dxa"/>
        <w:jc w:val="left"/>
        <w:tblInd w:w="0" w:type="dxa"/>
        <w:tblLayout w:type="fixed"/>
        <w:tblCellMar>
          <w:top w:w="28" w:type="dxa"/>
          <w:left w:w="28" w:type="dxa"/>
          <w:bottom w:w="28" w:type="dxa"/>
          <w:right w:w="28" w:type="dxa"/>
        </w:tblCellMar>
      </w:tblPr>
      <w:tblGrid>
        <w:gridCol w:w="1578"/>
        <w:gridCol w:w="1126"/>
        <w:gridCol w:w="1116"/>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63"/>
        <w:gridCol w:w="263"/>
        <w:gridCol w:w="498"/>
        <w:gridCol w:w="109"/>
        <w:gridCol w:w="109"/>
        <w:gridCol w:w="109"/>
        <w:gridCol w:w="262"/>
        <w:gridCol w:w="264"/>
        <w:gridCol w:w="347"/>
      </w:tblGrid>
      <w:tr>
        <w:trPr/>
        <w:tc>
          <w:tcPr>
            <w:tcW w:w="15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Variation</w:t>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AM&amp;S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P&amp;D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Analog, Power &amp; Discrete, MEMS and Sensors Group (APMS)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1,890</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1,707</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1,580</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19.6</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RFOC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Microcontrollers, Digital ICs and RF products Group (MDRF)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1,592</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1,384</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1,183</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34.5</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3,487</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3,095</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2,766</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w:t>
            </w:r>
            <w:r>
              <w:rPr>
                <w:color w:val="000000"/>
              </w:rPr>
              <w:t> </w:t>
            </w:r>
          </w:p>
        </w:tc>
        <w:tc>
          <w:tcPr>
            <w:tcW w:w="49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26.0</w:t>
            </w:r>
            <w:r>
              <w:rPr>
                <w:color w:val="000000"/>
              </w:rPr>
              <w:t> </w:t>
            </w:r>
          </w:p>
        </w:tc>
        <w:tc>
          <w:tcPr>
            <w:tcW w:w="34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a sequential basis, AM&amp;S revenues increased 8.2%, driven by higher volumes of approximately 14%, partially offset by lower average selling prices of approximately 6% due to product mix. P&amp;D revenues increased 19.2%, due to higher volumes of approximately 13% and higher prices of approximately 6% thanks to product mix. EMP revenues increased 17.7% mainly due to higher volumes of approximately 22%, partially offset by lower prices of approximately 4% due to product mix. RFOC revenues increased by 8.6%, mainly driven by higher volumes.</w:t>
      </w:r>
    </w:p>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On a year-over-year basis, AM&amp;S revenues increased 26.0%, driven by higher volumes of approximately 21% and higher average selling prices of approximately 5% mainly due to product mix. P&amp;D revenues increased 3.7% compared to the year-ago quarter, driven by higher volumes of approximately 14%, partially offset by lower average selling prices of approximately 10% due to selling price and product mix. EMP revenues increased 35.5%, driven by higher volumes of approximately 23% and higher average selling prices of approximately 13% due to product mix. RFOC revenues increased by 32.0% driven by higher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i/>
          <w:color w:val="000000"/>
          <w:sz w:val="20"/>
        </w:rPr>
        <w:t xml:space="preserve">Net Revenues by Market Channel </w:t>
      </w:r>
      <w:r>
        <w:rPr>
          <w:rFonts w:ascii="Times New Roman;serif" w:hAnsi="Times New Roman;serif"/>
          <w:b/>
          <w:i/>
          <w:color w:val="000000"/>
          <w:sz w:val="13"/>
        </w:rPr>
        <w:t>(1)</w:t>
      </w:r>
    </w:p>
    <w:tbl>
      <w:tblPr>
        <w:tblW w:w="7596" w:type="dxa"/>
        <w:jc w:val="left"/>
        <w:tblInd w:w="0" w:type="dxa"/>
        <w:tblLayout w:type="fixed"/>
        <w:tblCellMar>
          <w:top w:w="28" w:type="dxa"/>
          <w:left w:w="28" w:type="dxa"/>
          <w:bottom w:w="28" w:type="dxa"/>
          <w:right w:w="28" w:type="dxa"/>
        </w:tblCellMar>
      </w:tblPr>
      <w:tblGrid>
        <w:gridCol w:w="1354"/>
        <w:gridCol w:w="1189"/>
        <w:gridCol w:w="1192"/>
        <w:gridCol w:w="109"/>
        <w:gridCol w:w="109"/>
        <w:gridCol w:w="109"/>
        <w:gridCol w:w="239"/>
        <w:gridCol w:w="242"/>
        <w:gridCol w:w="444"/>
        <w:gridCol w:w="109"/>
        <w:gridCol w:w="109"/>
        <w:gridCol w:w="109"/>
        <w:gridCol w:w="239"/>
        <w:gridCol w:w="242"/>
        <w:gridCol w:w="496"/>
        <w:gridCol w:w="109"/>
        <w:gridCol w:w="109"/>
        <w:gridCol w:w="109"/>
        <w:gridCol w:w="239"/>
        <w:gridCol w:w="242"/>
        <w:gridCol w:w="497"/>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Manufacturers (“OEM”)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OEM are the end-customers to which we provide direct marketing application engineering support, while Distribution refers to the distributors and representatives that we engage to distribute our products around the world.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By market channel, our second quarter net revenues in distribution amounted to 30% of our total consolidated net revenues, increasing from 28% in the prior and year-ago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pPr>
      <w:r>
        <w:rPr>
          <w:rFonts w:ascii="Times New Roman;serif" w:hAnsi="Times New Roman;serif"/>
          <w:b/>
          <w:i/>
          <w:color w:val="000000"/>
          <w:sz w:val="20"/>
        </w:rPr>
        <w:t xml:space="preserve">Net Revenues by Location of Shipment </w:t>
      </w:r>
      <w:r>
        <w:rPr>
          <w:rFonts w:ascii="Times New Roman;serif" w:hAnsi="Times New Roman;serif"/>
          <w:b/>
          <w:i/>
          <w:color w:val="000000"/>
          <w:sz w:val="13"/>
        </w:rPr>
        <w:t>(1)</w:t>
      </w:r>
    </w:p>
    <w:tbl>
      <w:tblPr>
        <w:tblW w:w="9654" w:type="dxa"/>
        <w:jc w:val="left"/>
        <w:tblInd w:w="0" w:type="dxa"/>
        <w:tblLayout w:type="fixed"/>
        <w:tblCellMar>
          <w:top w:w="28" w:type="dxa"/>
          <w:left w:w="28" w:type="dxa"/>
          <w:bottom w:w="28" w:type="dxa"/>
          <w:right w:w="28" w:type="dxa"/>
        </w:tblCellMar>
      </w:tblPr>
      <w:tblGrid>
        <w:gridCol w:w="1184"/>
        <w:gridCol w:w="1041"/>
        <w:gridCol w:w="104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62"/>
        <w:gridCol w:w="264"/>
        <w:gridCol w:w="498"/>
        <w:gridCol w:w="109"/>
        <w:gridCol w:w="109"/>
        <w:gridCol w:w="109"/>
        <w:gridCol w:w="262"/>
        <w:gridCol w:w="264"/>
        <w:gridCol w:w="346"/>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Variation</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 (“EMEA”)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w:t>
            </w: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16"/>
        </w:rPr>
        <w:t>Net revenues</w:t>
      </w:r>
      <w:r>
        <w:rPr>
          <w:color w:val="000000"/>
        </w:rPr>
        <w:t xml:space="preserve"> </w:t>
      </w:r>
      <w:r>
        <w:rPr>
          <w:rFonts w:ascii="Times New Roman;serif" w:hAnsi="Times New Roman;serif"/>
          <w:b w:val="false"/>
          <w:color w:val="000000"/>
          <w:sz w:val="16"/>
        </w:rPr>
        <w:t>by location of shipment are classified by location of customer invoiced or reclassified by shipment destination in line with customer demand. For example, products ordered by U.S. based companies to be invoiced to Asia Pacific affiliates are classified as Asia Pacific revenues. Furthermore, the comparison among the different periods may be affected by shifts in shipments from one location to another, as requested by our customers.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a sequential basis, EMEA revenues increased by 5.7% due to higher sales mainly in Power &amp; Discrete and Custom Processing. Americas revenues remained substantially flat, increasing by 0.4%. Asia Pacific revenues increased 18.4% due to higher revenues in General-Purpose &amp; Automotive Microcontrollers, RF Optical Communications and Analog.</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a year-over-year basis, EMEA revenues increased 38.2%, mainly driven by higher sales in Custom Processing, General-Purpose &amp; Automotive Microcontrollers and Power &amp; Discrete. Americas revenues decreased 3.3%, mainly due to lower sales in Power &amp; Discrete. Asia Pacific revenues increased 30.4%, mainly due to higher sales in General-Purpose &amp; Automotive Microcontrollers, Imaging and RF Optical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9539"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11"/>
        <w:gridCol w:w="631"/>
        <w:gridCol w:w="271"/>
        <w:gridCol w:w="109"/>
        <w:gridCol w:w="109"/>
        <w:gridCol w:w="109"/>
        <w:gridCol w:w="211"/>
        <w:gridCol w:w="631"/>
        <w:gridCol w:w="271"/>
        <w:gridCol w:w="109"/>
        <w:gridCol w:w="109"/>
        <w:gridCol w:w="109"/>
        <w:gridCol w:w="211"/>
        <w:gridCol w:w="481"/>
        <w:gridCol w:w="271"/>
        <w:gridCol w:w="109"/>
        <w:gridCol w:w="109"/>
        <w:gridCol w:w="109"/>
        <w:gridCol w:w="263"/>
        <w:gridCol w:w="263"/>
        <w:gridCol w:w="498"/>
        <w:gridCol w:w="109"/>
        <w:gridCol w:w="109"/>
        <w:gridCol w:w="109"/>
        <w:gridCol w:w="263"/>
        <w:gridCol w:w="263"/>
        <w:gridCol w:w="346"/>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Variation</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16.3</w:t>
            </w: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31.1</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b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bps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Non-U.S. GAAP Gross profit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Non-U.S. GAAP Gross margin</w:t>
            </w:r>
          </w:p>
          <w:p>
            <w:pPr>
              <w:pStyle w:val="TableContents"/>
              <w:bidi w:val="0"/>
              <w:spacing w:lineRule="auto" w:line="288" w:before="0" w:after="0"/>
              <w:jc w:val="left"/>
              <w:rPr/>
            </w:pPr>
            <w:r>
              <w:rPr>
                <w:rFonts w:ascii="Times New Roman;serif" w:hAnsi="Times New Roman;serif"/>
                <w:b w:val="false"/>
                <w:color w:val="000000"/>
                <w:sz w:val="20"/>
              </w:rPr>
              <w:t xml:space="preserve">(as percentage of net revenues)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bps</w:t>
            </w:r>
          </w:p>
        </w:tc>
      </w:tr>
    </w:tbl>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(1)Non-U.S. GAAP. For reconciliation to U.S. GAAP and information explaining why we believe these measures are important, see “Business Overview” section.</w:t>
      </w:r>
    </w:p>
    <w:p>
      <w:pPr>
        <w:pStyle w:val="TextBody"/>
        <w:bidi w:val="0"/>
        <w:spacing w:lineRule="auto" w:line="268" w:before="6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gross margin was 34.8%. Gross profit increased 130 basis points year-over-year, mainly due to lower unused capacity charges and better product mix. Gross profit included $14 million Purchase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60" w:after="240"/>
        <w:jc w:val="both"/>
        <w:rPr>
          <w:rFonts w:ascii="Times New Roman;serif" w:hAnsi="Times New Roman;serif"/>
          <w:b w:val="false"/>
          <w:color w:val="000000"/>
          <w:sz w:val="20"/>
        </w:rPr>
      </w:pPr>
      <w:r>
        <w:rPr>
          <w:rFonts w:ascii="Times New Roman;serif" w:hAnsi="Times New Roman;serif"/>
          <w:b w:val="false"/>
          <w:color w:val="000000"/>
          <w:sz w:val="20"/>
        </w:rPr>
        <w:t>Price Allocation (PPA) effects from the acquisition of MEMS sensor business. Non-U.S. GAAP gross margin, excluding this item, was 35.2%, in line with the mid-point of our guidance.</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 sequential basis, non-U.S. GAAP gross margin increased by 110 basis points, mainly due to lower unused capacity charges and a more favorable product mix, partially offset by lower manufacturing efficiencies and higher inflationary pressure on COGS. On a year-over-year basis, non-U.S. GAAP gross margin increased 170 basis points, mainly due to lower unused capacity charges and better product mix.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332"/>
        <w:gridCol w:w="1170"/>
        <w:gridCol w:w="1173"/>
        <w:gridCol w:w="109"/>
        <w:gridCol w:w="109"/>
        <w:gridCol w:w="109"/>
        <w:gridCol w:w="211"/>
        <w:gridCol w:w="539"/>
        <w:gridCol w:w="271"/>
        <w:gridCol w:w="109"/>
        <w:gridCol w:w="109"/>
        <w:gridCol w:w="109"/>
        <w:gridCol w:w="211"/>
        <w:gridCol w:w="539"/>
        <w:gridCol w:w="271"/>
        <w:gridCol w:w="109"/>
        <w:gridCol w:w="109"/>
        <w:gridCol w:w="109"/>
        <w:gridCol w:w="211"/>
        <w:gridCol w:w="539"/>
        <w:gridCol w:w="271"/>
        <w:gridCol w:w="109"/>
        <w:gridCol w:w="109"/>
        <w:gridCol w:w="109"/>
        <w:gridCol w:w="238"/>
        <w:gridCol w:w="240"/>
        <w:gridCol w:w="498"/>
        <w:gridCol w:w="109"/>
        <w:gridCol w:w="109"/>
        <w:gridCol w:w="109"/>
        <w:gridCol w:w="246"/>
        <w:gridCol w:w="248"/>
        <w:gridCol w:w="362"/>
      </w:tblGrid>
      <w:tr>
        <w:trPr/>
        <w:tc>
          <w:tcPr>
            <w:tcW w:w="13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Variation</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Sequential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br/>
              <w:t>Over</w:t>
              <w:br/>
              <w:t>Year</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bps</w:t>
            </w:r>
          </w:p>
        </w:tc>
      </w:tr>
    </w:tbl>
    <w:p>
      <w:pPr>
        <w:pStyle w:val="TextBody"/>
        <w:bidi w:val="0"/>
        <w:spacing w:lineRule="auto" w:line="268" w:before="60" w:after="240"/>
        <w:jc w:val="both"/>
        <w:rPr>
          <w:rFonts w:ascii="Times New Roman;serif" w:hAnsi="Times New Roman;serif"/>
          <w:b w:val="false"/>
          <w:color w:val="000000"/>
          <w:sz w:val="20"/>
        </w:rPr>
      </w:pPr>
      <w:r>
        <w:rPr>
          <w:rFonts w:ascii="Times New Roman;serif" w:hAnsi="Times New Roman;serif"/>
          <w:b w:val="false"/>
          <w:color w:val="000000"/>
          <w:sz w:val="20"/>
        </w:rPr>
        <w:t>On a sequential basis, operating expenses increased by $46 million, mainly due to calendar impact, net of vacation and cost of labor. On a year-over-year basis, operating expenses increased by $61 million, mainly due to higher cost of labor and negative currency effects, partially offset by lower discretionary spending.</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a percentage of net revenues, our operating expenses amounted to 28.5% in the second quarter of 2026, decreasing compared to 30.7% and increasing from 33.8% in the prior and year-ago quarters, respectively.</w:t>
      </w:r>
    </w:p>
    <w:p>
      <w:pPr>
        <w:pStyle w:val="TextBody"/>
        <w:bidi w:val="0"/>
        <w:spacing w:lineRule="auto" w:line="268" w:before="240" w:after="240"/>
        <w:jc w:val="both"/>
        <w:rPr/>
      </w:pPr>
      <w:r>
        <w:rPr>
          <w:rFonts w:ascii="Times New Roman;serif" w:hAnsi="Times New Roman;serif"/>
          <w:b w:val="false"/>
          <w:color w:val="000000"/>
          <w:sz w:val="20"/>
        </w:rPr>
        <w:t>R&amp;D expens</w:t>
      </w:r>
      <w:r>
        <w:rPr>
          <w:rFonts w:ascii="Times New Roman;serif" w:hAnsi="Times New Roman;serif"/>
          <w:b w:val="false"/>
          <w:color w:val="000000"/>
          <w:sz w:val="20"/>
          <w:shd w:fill="FFFFFF" w:val="clear"/>
        </w:rPr>
        <w:t>es were net of research tax credits, which amounted</w:t>
      </w:r>
      <w:r>
        <w:rPr>
          <w:color w:val="000000"/>
        </w:rPr>
        <w:t xml:space="preserve"> </w:t>
      </w:r>
      <w:r>
        <w:rPr>
          <w:rFonts w:ascii="Times New Roman;serif" w:hAnsi="Times New Roman;serif"/>
          <w:b w:val="false"/>
          <w:color w:val="000000"/>
          <w:sz w:val="20"/>
        </w:rPr>
        <w:t>to $31 m</w:t>
      </w:r>
      <w:r>
        <w:rPr>
          <w:rFonts w:ascii="Times New Roman;serif" w:hAnsi="Times New Roman;serif"/>
          <w:b w:val="false"/>
          <w:color w:val="000000"/>
          <w:sz w:val="20"/>
          <w:shd w:fill="FFFFFF" w:val="clear"/>
        </w:rPr>
        <w:t>illion in the second quarter of 2026, compared t</w:t>
      </w:r>
      <w:r>
        <w:rPr>
          <w:rFonts w:ascii="Times New Roman;serif" w:hAnsi="Times New Roman;serif"/>
          <w:b w:val="false"/>
          <w:color w:val="000000"/>
          <w:sz w:val="20"/>
        </w:rPr>
        <w:t xml:space="preserve">o $32 </w:t>
      </w:r>
      <w:r>
        <w:rPr>
          <w:rFonts w:ascii="Times New Roman;serif" w:hAnsi="Times New Roman;serif"/>
          <w:b w:val="false"/>
          <w:color w:val="000000"/>
          <w:sz w:val="20"/>
          <w:shd w:fill="FFFFFF" w:val="clear"/>
        </w:rPr>
        <w:t>million and</w:t>
      </w:r>
      <w:r>
        <w:rPr>
          <w:color w:val="000000"/>
        </w:rPr>
        <w:t xml:space="preserve"> </w:t>
      </w:r>
      <w:r>
        <w:rPr>
          <w:rFonts w:ascii="Times New Roman;serif" w:hAnsi="Times New Roman;serif"/>
          <w:b w:val="false"/>
          <w:color w:val="000000"/>
          <w:sz w:val="20"/>
        </w:rPr>
        <w:t>$30 mi</w:t>
      </w:r>
      <w:r>
        <w:rPr>
          <w:rFonts w:ascii="Times New Roman;serif" w:hAnsi="Times New Roman;serif"/>
          <w:b w:val="false"/>
          <w:color w:val="000000"/>
          <w:sz w:val="20"/>
          <w:shd w:fill="FFFFFF" w:val="clear"/>
        </w:rPr>
        <w:t>llion, i</w:t>
      </w:r>
      <w:r>
        <w:rPr>
          <w:rFonts w:ascii="Times New Roman;serif" w:hAnsi="Times New Roman;serif"/>
          <w:b w:val="false"/>
          <w:color w:val="000000"/>
          <w:sz w:val="20"/>
        </w:rPr>
        <w:t>n the prior and year-ago quarters,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Other income and expenses, net</w:t>
      </w:r>
    </w:p>
    <w:tbl>
      <w:tblPr>
        <w:tblW w:w="6674" w:type="dxa"/>
        <w:jc w:val="left"/>
        <w:tblInd w:w="0" w:type="dxa"/>
        <w:tblLayout w:type="fixed"/>
        <w:tblCellMar>
          <w:top w:w="28" w:type="dxa"/>
          <w:left w:w="28" w:type="dxa"/>
          <w:bottom w:w="28" w:type="dxa"/>
          <w:right w:w="28" w:type="dxa"/>
        </w:tblCellMar>
      </w:tblPr>
      <w:tblGrid>
        <w:gridCol w:w="1112"/>
        <w:gridCol w:w="979"/>
        <w:gridCol w:w="983"/>
        <w:gridCol w:w="109"/>
        <w:gridCol w:w="109"/>
        <w:gridCol w:w="109"/>
        <w:gridCol w:w="211"/>
        <w:gridCol w:w="376"/>
        <w:gridCol w:w="271"/>
        <w:gridCol w:w="109"/>
        <w:gridCol w:w="109"/>
        <w:gridCol w:w="109"/>
        <w:gridCol w:w="211"/>
        <w:gridCol w:w="376"/>
        <w:gridCol w:w="271"/>
        <w:gridCol w:w="109"/>
        <w:gridCol w:w="109"/>
        <w:gridCol w:w="109"/>
        <w:gridCol w:w="211"/>
        <w:gridCol w:w="376"/>
        <w:gridCol w:w="316"/>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 and other related claim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and postponement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and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40"/>
        <w:jc w:val="both"/>
        <w:rPr/>
      </w:pPr>
      <w:r>
        <w:rPr>
          <w:rFonts w:ascii="Times New Roman;serif" w:hAnsi="Times New Roman;serif"/>
          <w:b w:val="false"/>
          <w:color w:val="000000"/>
          <w:sz w:val="20"/>
        </w:rPr>
        <w:t>Other income and expenses, net, amounted to $25 million income, decreasing by $20</w:t>
      </w:r>
      <w:r>
        <w:rPr>
          <w:color w:val="000000"/>
          <w:shd w:fill="FFFFFF" w:val="clear"/>
        </w:rPr>
        <w:t xml:space="preserve"> </w:t>
      </w:r>
      <w:r>
        <w:rPr>
          <w:rFonts w:ascii="Times New Roman;serif" w:hAnsi="Times New Roman;serif"/>
          <w:b w:val="false"/>
          <w:color w:val="000000"/>
          <w:sz w:val="20"/>
        </w:rPr>
        <w:t xml:space="preserve">million and by $40 million on a sequential and a year-over-year basis, respectively. The sequential and the year-over-year decrease is mainly due to higher start-up costs. In the second quarter of 2026, we started our manufacturing activities and entered into the ramp-up phase of the new 200mm silicon carbide manufacturing in Catania, Italy and the new 200mm silicon carbide device manufacturing Sanan ST joint venture in Chongqing,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Impairment, restructuring charges and other related phase-out costs</w:t>
      </w:r>
    </w:p>
    <w:tbl>
      <w:tblPr>
        <w:tblW w:w="9419" w:type="dxa"/>
        <w:jc w:val="left"/>
        <w:tblInd w:w="0" w:type="dxa"/>
        <w:tblLayout w:type="fixed"/>
        <w:tblCellMar>
          <w:top w:w="28" w:type="dxa"/>
          <w:left w:w="28" w:type="dxa"/>
          <w:bottom w:w="28" w:type="dxa"/>
          <w:right w:w="28" w:type="dxa"/>
        </w:tblCellMar>
      </w:tblPr>
      <w:tblGrid>
        <w:gridCol w:w="2005"/>
        <w:gridCol w:w="1762"/>
        <w:gridCol w:w="1767"/>
        <w:gridCol w:w="109"/>
        <w:gridCol w:w="109"/>
        <w:gridCol w:w="109"/>
        <w:gridCol w:w="211"/>
        <w:gridCol w:w="436"/>
        <w:gridCol w:w="271"/>
        <w:gridCol w:w="109"/>
        <w:gridCol w:w="109"/>
        <w:gridCol w:w="109"/>
        <w:gridCol w:w="211"/>
        <w:gridCol w:w="436"/>
        <w:gridCol w:w="271"/>
        <w:gridCol w:w="109"/>
        <w:gridCol w:w="109"/>
        <w:gridCol w:w="109"/>
        <w:gridCol w:w="211"/>
        <w:gridCol w:w="541"/>
        <w:gridCol w:w="316"/>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 totaled $58 million in the second quarter of 2026, including $36 million of restructuring charges, of which $26 million for labor-related costs and $10 million for non-labor related costs. We also recorded $22 million of phase-out costs. In the second quarter of 2025, restructuring charges totaled $190 million of which $133 million impairment charges following the launch in the second quarter of 2025 of the manufacturing reshaping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40"/>
        <w:jc w:val="both"/>
        <w:rPr>
          <w:rFonts w:ascii="Times New Roman;serif" w:hAnsi="Times New Roman;serif"/>
          <w:b/>
          <w:i/>
          <w:color w:val="000000"/>
          <w:sz w:val="20"/>
        </w:rPr>
      </w:pPr>
      <w:r>
        <w:rPr>
          <w:rFonts w:ascii="Times New Roman;serif" w:hAnsi="Times New Roman;serif"/>
          <w:b/>
          <w:i/>
          <w:color w:val="000000"/>
          <w:sz w:val="20"/>
        </w:rPr>
        <w:t>Operating income (loss)</w:t>
      </w:r>
    </w:p>
    <w:tbl>
      <w:tblPr>
        <w:tblW w:w="7184" w:type="dxa"/>
        <w:jc w:val="left"/>
        <w:tblInd w:w="0" w:type="dxa"/>
        <w:tblLayout w:type="fixed"/>
        <w:tblCellMar>
          <w:top w:w="28" w:type="dxa"/>
          <w:left w:w="28" w:type="dxa"/>
          <w:bottom w:w="28" w:type="dxa"/>
          <w:right w:w="28" w:type="dxa"/>
        </w:tblCellMar>
      </w:tblPr>
      <w:tblGrid>
        <w:gridCol w:w="1168"/>
        <w:gridCol w:w="1025"/>
        <w:gridCol w:w="1031"/>
        <w:gridCol w:w="109"/>
        <w:gridCol w:w="109"/>
        <w:gridCol w:w="109"/>
        <w:gridCol w:w="211"/>
        <w:gridCol w:w="481"/>
        <w:gridCol w:w="271"/>
        <w:gridCol w:w="109"/>
        <w:gridCol w:w="109"/>
        <w:gridCol w:w="109"/>
        <w:gridCol w:w="211"/>
        <w:gridCol w:w="466"/>
        <w:gridCol w:w="271"/>
        <w:gridCol w:w="109"/>
        <w:gridCol w:w="109"/>
        <w:gridCol w:w="109"/>
        <w:gridCol w:w="211"/>
        <w:gridCol w:w="541"/>
        <w:gridCol w:w="316"/>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Operating income (loss), 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Non-U.S. GAAP Operating income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As percentage of net revenues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(1)Non-U.S. GAAP. For reconciliation to U.S. GAAP and information explaining why we believe these measures are important, see “Business Overview” section.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operating income increased to $187 million, compared to an income of $70 million and a loss of $133 million in the prior and year-ago quarters, respectively. Operating income included $58 million impairment, restructuring charges and other related phase-out costs for the quarter, mainly reflecting charges related to the execution of the previously announced company-wide program to reshape our manufacturing footprint and resize our global cost base and $24 million PPA effects from the acquisition of MEMS sensor business. Excluding these items, non-U.S. GAAP operating income amounted to $269 million compared to $171 million and $57 million in the prior and year-ago quarters, respectively. On a sequential and a year-over-year basis, non-U.S. GAAP operating income increased by $98 million and $212 million, respectively mainly due to increased gross profit profitability, partially offset by higher operating expenses and start-up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Operating income (loss) by reportable segment</w:t>
      </w:r>
    </w:p>
    <w:tbl>
      <w:tblPr>
        <w:tblW w:w="10205" w:type="dxa"/>
        <w:jc w:val="left"/>
        <w:tblInd w:w="0" w:type="dxa"/>
        <w:tblLayout w:type="fixed"/>
        <w:tblCellMar>
          <w:top w:w="28" w:type="dxa"/>
          <w:left w:w="28" w:type="dxa"/>
          <w:bottom w:w="28" w:type="dxa"/>
          <w:right w:w="28" w:type="dxa"/>
        </w:tblCellMar>
      </w:tblPr>
      <w:tblGrid>
        <w:gridCol w:w="1354"/>
        <w:gridCol w:w="766"/>
        <w:gridCol w:w="740"/>
        <w:gridCol w:w="109"/>
        <w:gridCol w:w="109"/>
        <w:gridCol w:w="109"/>
        <w:gridCol w:w="211"/>
        <w:gridCol w:w="481"/>
        <w:gridCol w:w="109"/>
        <w:gridCol w:w="109"/>
        <w:gridCol w:w="109"/>
        <w:gridCol w:w="109"/>
        <w:gridCol w:w="271"/>
        <w:gridCol w:w="273"/>
        <w:gridCol w:w="428"/>
        <w:gridCol w:w="109"/>
        <w:gridCol w:w="109"/>
        <w:gridCol w:w="109"/>
        <w:gridCol w:w="211"/>
        <w:gridCol w:w="466"/>
        <w:gridCol w:w="109"/>
        <w:gridCol w:w="109"/>
        <w:gridCol w:w="109"/>
        <w:gridCol w:w="109"/>
        <w:gridCol w:w="271"/>
        <w:gridCol w:w="273"/>
        <w:gridCol w:w="428"/>
        <w:gridCol w:w="109"/>
        <w:gridCol w:w="109"/>
        <w:gridCol w:w="109"/>
        <w:gridCol w:w="211"/>
        <w:gridCol w:w="500"/>
        <w:gridCol w:w="109"/>
        <w:gridCol w:w="109"/>
        <w:gridCol w:w="109"/>
        <w:gridCol w:w="109"/>
        <w:gridCol w:w="272"/>
        <w:gridCol w:w="272"/>
        <w:gridCol w:w="488"/>
      </w:tblGrid>
      <w:tr>
        <w:trPr/>
        <w:tc>
          <w:tcPr>
            <w:tcW w:w="135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8"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of net</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of net</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of net</w:t>
              <w:br/>
              <w:t>revenues</w:t>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AM&amp;S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P&amp;D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Analog, Power &amp; Discrete, MEMS and Sensors Group (APMS)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w:t>
            </w:r>
            <w:r>
              <w:rPr>
                <w:color w:val="000000"/>
              </w:rPr>
              <w:t> </w:t>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w:t>
            </w:r>
            <w:r>
              <w:rPr>
                <w:color w:val="000000"/>
              </w:rPr>
              <w:t> </w:t>
            </w:r>
          </w:p>
        </w:tc>
        <w:tc>
          <w:tcPr>
            <w:tcW w:w="48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RFOC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Microcontrollers, Digital ICs and RF products Group (MDRF)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20.1</w:t>
            </w:r>
            <w:r>
              <w:rPr>
                <w:color w:val="000000"/>
              </w:rPr>
              <w:t> </w:t>
            </w:r>
          </w:p>
        </w:tc>
        <w:tc>
          <w:tcPr>
            <w:tcW w:w="4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16.3</w:t>
            </w:r>
            <w:r>
              <w:rPr>
                <w:color w:val="000000"/>
              </w:rPr>
              <w:t> </w:t>
            </w:r>
          </w:p>
        </w:tc>
        <w:tc>
          <w:tcPr>
            <w:tcW w:w="42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w:t>
            </w:r>
            <w:r>
              <w:rPr>
                <w:color w:val="000000"/>
              </w:rPr>
              <w:t> </w:t>
            </w:r>
          </w:p>
        </w:tc>
        <w:tc>
          <w:tcPr>
            <w:tcW w:w="48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income of operating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w:t>
            </w:r>
            <w:r>
              <w:rPr>
                <w:color w:val="000000"/>
              </w:rPr>
              <w:t> </w:t>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302</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w:t>
            </w:r>
            <w:r>
              <w:rPr>
                <w:color w:val="000000"/>
              </w:rPr>
              <w:t> </w:t>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w:t>
            </w:r>
            <w:r>
              <w:rPr>
                <w:color w:val="000000"/>
              </w:rPr>
              <w:t> </w:t>
            </w:r>
          </w:p>
        </w:tc>
        <w:tc>
          <w:tcPr>
            <w:tcW w:w="48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w:t>
            </w:r>
            <w:r>
              <w:rPr>
                <w:color w:val="000000"/>
              </w:rPr>
              <w:t> </w:t>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42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48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hanging="360"/>
        <w:jc w:val="both"/>
        <w:rPr/>
      </w:pPr>
      <w:r>
        <w:rPr>
          <w:rFonts w:ascii="Arial;sans-serif" w:hAnsi="Arial;sans-serif"/>
          <w:b w:val="false"/>
          <w:color w:val="464650"/>
          <w:sz w:val="12"/>
        </w:rPr>
        <w:t>(1)</w:t>
      </w:r>
      <w:r>
        <w:rPr>
          <w:rFonts w:ascii="Times New Roman;serif" w:hAnsi="Times New Roman;serif"/>
          <w:b w:val="false"/>
          <w:color w:val="000000"/>
          <w:sz w:val="16"/>
        </w:rPr>
        <w:t>Operating income (loss) of “Others” includes items such as unused capacity charges, incidents leading to power outage, impairment, restructuring charges and other related phase-out costs, management reorganization costs, start-up costs, and other unallocated income (expenses) such as: strategic or special research and development programs, certain corporate-level operating expenses, patent claims and litigations, and other costs that are not allocated to reportable segments (e.g. urgent freight costs, changes in fair value measurement on contingent consideration liabilities), operating earnings of other products, as well as the effects of purchase price allocation in case of business acquisitions</w:t>
      </w:r>
      <w:r>
        <w:rPr>
          <w:rFonts w:ascii="Times New Roman;serif" w:hAnsi="Times New Roman;serif"/>
          <w:b w:val="false"/>
          <w:color w:val="000000"/>
          <w:sz w:val="16"/>
          <w:shd w:fill="FFFFFF" w:val="clear"/>
        </w:rPr>
        <w:t>.</w:t>
      </w:r>
    </w:p>
    <w:p>
      <w:pPr>
        <w:pStyle w:val="TextBody"/>
        <w:bidi w:val="0"/>
        <w:spacing w:lineRule="auto" w:line="268" w:before="0" w:after="240"/>
        <w:jc w:val="both"/>
        <w:rPr/>
      </w:pPr>
      <w:r>
        <w:rPr>
          <w:rFonts w:ascii="Times New Roman;serif" w:hAnsi="Times New Roman;serif"/>
          <w:b w:val="false"/>
          <w:color w:val="000000"/>
          <w:sz w:val="20"/>
          <w:shd w:fill="FFFFFF" w:val="clear"/>
        </w:rPr>
        <w:t xml:space="preserve">For the second quarter of 2026, AM&amp;S operating income </w:t>
      </w:r>
      <w:r>
        <w:rPr>
          <w:rFonts w:ascii="Times New Roman;serif" w:hAnsi="Times New Roman;serif"/>
          <w:b w:val="false"/>
          <w:color w:val="000000"/>
          <w:sz w:val="20"/>
        </w:rPr>
        <w:t>was $144 millio</w:t>
      </w:r>
      <w:r>
        <w:rPr>
          <w:rFonts w:ascii="Times New Roman;serif" w:hAnsi="Times New Roman;serif"/>
          <w:b w:val="false"/>
          <w:color w:val="000000"/>
          <w:sz w:val="20"/>
          <w:shd w:fill="FFFFFF" w:val="clear"/>
        </w:rPr>
        <w:t>n, a decrease of $</w:t>
      </w:r>
      <w:r>
        <w:rPr>
          <w:rFonts w:ascii="Times New Roman;serif" w:hAnsi="Times New Roman;serif"/>
          <w:b w:val="false"/>
          <w:color w:val="000000"/>
          <w:sz w:val="20"/>
        </w:rPr>
        <w:t>17</w:t>
      </w:r>
      <w:r>
        <w:rPr>
          <w:color w:val="000000"/>
          <w:shd w:fill="FFFFFF" w:val="clear"/>
        </w:rPr>
        <w:t xml:space="preserve"> </w:t>
      </w:r>
      <w:r>
        <w:rPr>
          <w:rFonts w:ascii="Times New Roman;serif" w:hAnsi="Times New Roman;serif"/>
          <w:b w:val="false"/>
          <w:color w:val="000000"/>
          <w:sz w:val="20"/>
          <w:shd w:fill="FFFFFF" w:val="clear"/>
        </w:rPr>
        <w:t>million on a sequential basis mainly driven by lower profitability in Analog and Imaging. P&amp;D operati</w:t>
      </w:r>
      <w:r>
        <w:rPr>
          <w:rFonts w:ascii="Times New Roman;serif" w:hAnsi="Times New Roman;serif"/>
          <w:b w:val="false"/>
          <w:color w:val="000000"/>
          <w:sz w:val="20"/>
        </w:rPr>
        <w:t>ng loss was $99 million, compared to an operating loss of $84 million in</w:t>
      </w:r>
      <w:r>
        <w:rPr>
          <w:color w:val="000000"/>
          <w:shd w:fill="FFFFFF" w:val="clear"/>
        </w:rPr>
        <w:t xml:space="preserve"> </w:t>
      </w:r>
      <w:r>
        <w:rPr>
          <w:rFonts w:ascii="Times New Roman;serif" w:hAnsi="Times New Roman;serif"/>
          <w:b w:val="false"/>
          <w:color w:val="000000"/>
          <w:sz w:val="20"/>
          <w:shd w:fill="FFFFFF" w:val="clear"/>
        </w:rPr>
        <w:t>the prior quarter</w:t>
      </w:r>
      <w:r>
        <w:rPr>
          <w:rFonts w:ascii="Times New Roman;serif" w:hAnsi="Times New Roman;serif"/>
          <w:b w:val="false"/>
          <w:color w:val="000000"/>
          <w:sz w:val="20"/>
        </w:rPr>
        <w:t>. E</w:t>
      </w:r>
      <w:r>
        <w:rPr>
          <w:rFonts w:ascii="Times New Roman;serif" w:hAnsi="Times New Roman;serif"/>
          <w:b w:val="false"/>
          <w:color w:val="000000"/>
          <w:sz w:val="20"/>
          <w:shd w:fill="FFFFFF" w:val="clear"/>
        </w:rPr>
        <w:t>MP operating income increased by $</w:t>
      </w:r>
      <w:r>
        <w:rPr>
          <w:rFonts w:ascii="Times New Roman;serif" w:hAnsi="Times New Roman;serif"/>
          <w:b w:val="false"/>
          <w:color w:val="000000"/>
          <w:sz w:val="20"/>
        </w:rPr>
        <w:t>62 million sequentially, with all subgroups contributing</w:t>
      </w:r>
      <w:r>
        <w:rPr>
          <w:rFonts w:ascii="Times New Roman;serif" w:hAnsi="Times New Roman;serif"/>
          <w:b w:val="false"/>
          <w:color w:val="000000"/>
          <w:sz w:val="20"/>
          <w:shd w:fill="FFFFFF" w:val="clear"/>
        </w:rPr>
        <w:t>. RFOC operating income increased by $</w:t>
      </w:r>
      <w:r>
        <w:rPr>
          <w:rFonts w:ascii="Times New Roman;serif" w:hAnsi="Times New Roman;serif"/>
          <w:b w:val="false"/>
          <w:color w:val="000000"/>
          <w:sz w:val="20"/>
        </w:rPr>
        <w:t>33</w:t>
      </w:r>
      <w:r>
        <w:rPr>
          <w:color w:val="000000"/>
          <w:shd w:fill="FFFFFF" w:val="clear"/>
        </w:rPr>
        <w:t xml:space="preserve"> </w:t>
      </w:r>
      <w:r>
        <w:rPr>
          <w:rFonts w:ascii="Times New Roman;serif" w:hAnsi="Times New Roman;serif"/>
          <w:b w:val="false"/>
          <w:color w:val="000000"/>
          <w:sz w:val="20"/>
          <w:shd w:fill="FFFFFF" w:val="clear"/>
        </w:rPr>
        <w:t>million.</w:t>
      </w:r>
    </w:p>
    <w:p>
      <w:pPr>
        <w:pStyle w:val="TextBody"/>
        <w:bidi w:val="0"/>
        <w:spacing w:lineRule="auto" w:line="268" w:before="0" w:after="240"/>
        <w:jc w:val="both"/>
        <w:rPr/>
      </w:pPr>
      <w:r>
        <w:rPr>
          <w:rFonts w:ascii="Times New Roman;serif" w:hAnsi="Times New Roman;serif"/>
          <w:b w:val="false"/>
          <w:color w:val="000000"/>
          <w:sz w:val="20"/>
          <w:shd w:fill="FFFFFF" w:val="clear"/>
        </w:rPr>
        <w:t xml:space="preserve">AM&amp;S operating income increased </w:t>
      </w:r>
      <w:r>
        <w:rPr>
          <w:rFonts w:ascii="Times New Roman;serif" w:hAnsi="Times New Roman;serif"/>
          <w:b w:val="false"/>
          <w:color w:val="000000"/>
          <w:sz w:val="20"/>
        </w:rPr>
        <w:t xml:space="preserve">by $59 </w:t>
      </w:r>
      <w:r>
        <w:rPr>
          <w:rFonts w:ascii="Times New Roman;serif" w:hAnsi="Times New Roman;serif"/>
          <w:b w:val="false"/>
          <w:color w:val="000000"/>
          <w:sz w:val="20"/>
          <w:shd w:fill="FFFFFF" w:val="clear"/>
        </w:rPr>
        <w:t>million year-over-year, with MEMS and Imaging increasing while Analog subgroup decreased. P&amp;D operating result decreased by $</w:t>
      </w:r>
      <w:r>
        <w:rPr>
          <w:rFonts w:ascii="Times New Roman;serif" w:hAnsi="Times New Roman;serif"/>
          <w:b w:val="false"/>
          <w:color w:val="000000"/>
          <w:sz w:val="20"/>
        </w:rPr>
        <w:t>43</w:t>
      </w:r>
      <w:r>
        <w:rPr>
          <w:color w:val="000000"/>
          <w:shd w:fill="FFFFFF" w:val="clear"/>
        </w:rPr>
        <w:t xml:space="preserve"> </w:t>
      </w:r>
      <w:r>
        <w:rPr>
          <w:rFonts w:ascii="Times New Roman;serif" w:hAnsi="Times New Roman;serif"/>
          <w:b w:val="false"/>
          <w:color w:val="000000"/>
          <w:sz w:val="20"/>
          <w:shd w:fill="FFFFFF" w:val="clear"/>
        </w:rPr>
        <w:t>million to an operating loss o</w:t>
      </w:r>
      <w:r>
        <w:rPr>
          <w:rFonts w:ascii="Times New Roman;serif" w:hAnsi="Times New Roman;serif"/>
          <w:b w:val="false"/>
          <w:color w:val="000000"/>
          <w:sz w:val="20"/>
        </w:rPr>
        <w:t>f $99 mil</w:t>
      </w:r>
      <w:r>
        <w:rPr>
          <w:rFonts w:ascii="Times New Roman;serif" w:hAnsi="Times New Roman;serif"/>
          <w:b w:val="false"/>
          <w:color w:val="000000"/>
          <w:sz w:val="20"/>
          <w:shd w:fill="FFFFFF" w:val="clear"/>
        </w:rPr>
        <w:t xml:space="preserve">lion. EMP operating income </w:t>
      </w:r>
      <w:r>
        <w:rPr>
          <w:rFonts w:ascii="Times New Roman;serif" w:hAnsi="Times New Roman;serif"/>
          <w:b w:val="false"/>
          <w:color w:val="000000"/>
          <w:sz w:val="20"/>
        </w:rPr>
        <w:t>increased by $112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with all subgroups contributing</w:t>
      </w:r>
      <w:r>
        <w:rPr>
          <w:rFonts w:ascii="Times New Roman;serif" w:hAnsi="Times New Roman;serif"/>
          <w:b w:val="false"/>
          <w:color w:val="000000"/>
          <w:sz w:val="20"/>
          <w:shd w:fill="FFFFFF" w:val="clear"/>
        </w:rPr>
        <w:t xml:space="preserve">. RF Optical Communications operating income increased by </w:t>
      </w:r>
      <w:r>
        <w:rPr>
          <w:rFonts w:ascii="Times New Roman;serif" w:hAnsi="Times New Roman;serif"/>
          <w:b w:val="false"/>
          <w:color w:val="000000"/>
          <w:sz w:val="20"/>
        </w:rPr>
        <w:t>$34 milli</w:t>
      </w:r>
      <w:r>
        <w:rPr>
          <w:rFonts w:ascii="Times New Roman;serif" w:hAnsi="Times New Roman;serif"/>
          <w:b w:val="false"/>
          <w:color w:val="000000"/>
          <w:sz w:val="20"/>
          <w:shd w:fill="FFFFFF" w:val="clear"/>
        </w:rPr>
        <w: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Reconciliation to consolidated operating income (loss)</w:t>
      </w:r>
    </w:p>
    <w:tbl>
      <w:tblPr>
        <w:tblW w:w="9077" w:type="dxa"/>
        <w:jc w:val="left"/>
        <w:tblInd w:w="0" w:type="dxa"/>
        <w:tblLayout w:type="fixed"/>
        <w:tblCellMar>
          <w:top w:w="28" w:type="dxa"/>
          <w:left w:w="28" w:type="dxa"/>
          <w:bottom w:w="28" w:type="dxa"/>
          <w:right w:w="28" w:type="dxa"/>
        </w:tblCellMar>
      </w:tblPr>
      <w:tblGrid>
        <w:gridCol w:w="2005"/>
        <w:gridCol w:w="1762"/>
        <w:gridCol w:w="1767"/>
        <w:gridCol w:w="109"/>
        <w:gridCol w:w="109"/>
        <w:gridCol w:w="109"/>
        <w:gridCol w:w="211"/>
        <w:gridCol w:w="481"/>
        <w:gridCol w:w="109"/>
        <w:gridCol w:w="109"/>
        <w:gridCol w:w="109"/>
        <w:gridCol w:w="109"/>
        <w:gridCol w:w="225"/>
        <w:gridCol w:w="514"/>
        <w:gridCol w:w="116"/>
        <w:gridCol w:w="109"/>
        <w:gridCol w:w="109"/>
        <w:gridCol w:w="109"/>
        <w:gridCol w:w="211"/>
        <w:gridCol w:w="541"/>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income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Unused capacity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PPA effects of MEMS sensor business acquisition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manufacturing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fees of committed equipment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and R&amp;D programs</w:t>
            </w:r>
          </w:p>
          <w:p>
            <w:pPr>
              <w:pStyle w:val="TableContents"/>
              <w:bidi w:val="0"/>
              <w:spacing w:lineRule="auto" w:line="288" w:before="0" w:after="0"/>
              <w:jc w:val="left"/>
              <w:rPr/>
            </w:pPr>
            <w:r>
              <w:rPr>
                <w:color w:val="000000"/>
              </w:rPr>
              <w:t>   </w:t>
            </w:r>
            <w:r>
              <w:rPr>
                <w:rFonts w:ascii="Times New Roman;serif" w:hAnsi="Times New Roman;serif"/>
                <w:b w:val="false"/>
                <w:color w:val="000000"/>
                <w:sz w:val="20"/>
              </w:rPr>
              <w:t>and other non-allocated provisions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loss of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(232)</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unallocated income and expenses such as certain corporate-level operating expenses and other income (costs) that are not allocated to the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Interest income</w:t>
      </w:r>
    </w:p>
    <w:tbl>
      <w:tblPr>
        <w:tblW w:w="6102" w:type="dxa"/>
        <w:jc w:val="left"/>
        <w:tblInd w:w="0" w:type="dxa"/>
        <w:tblLayout w:type="fixed"/>
        <w:tblCellMar>
          <w:top w:w="28" w:type="dxa"/>
          <w:left w:w="28" w:type="dxa"/>
          <w:bottom w:w="28" w:type="dxa"/>
          <w:right w:w="28" w:type="dxa"/>
        </w:tblCellMar>
      </w:tblPr>
      <w:tblGrid>
        <w:gridCol w:w="918"/>
        <w:gridCol w:w="805"/>
        <w:gridCol w:w="812"/>
        <w:gridCol w:w="109"/>
        <w:gridCol w:w="109"/>
        <w:gridCol w:w="109"/>
        <w:gridCol w:w="211"/>
        <w:gridCol w:w="361"/>
        <w:gridCol w:w="271"/>
        <w:gridCol w:w="109"/>
        <w:gridCol w:w="109"/>
        <w:gridCol w:w="109"/>
        <w:gridCol w:w="214"/>
        <w:gridCol w:w="366"/>
        <w:gridCol w:w="275"/>
        <w:gridCol w:w="109"/>
        <w:gridCol w:w="109"/>
        <w:gridCol w:w="109"/>
        <w:gridCol w:w="211"/>
        <w:gridCol w:w="361"/>
        <w:gridCol w:w="316"/>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4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recorded interest income of $41 million, compared to an interest income of $38 million and $60 million in the prior year-ago quarters, respectively. The year-over-year decrease in interest income was mainly due to lower U.S dollar interest yields.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6314" w:type="dxa"/>
        <w:jc w:val="left"/>
        <w:tblInd w:w="0" w:type="dxa"/>
        <w:tblLayout w:type="fixed"/>
        <w:tblCellMar>
          <w:top w:w="28" w:type="dxa"/>
          <w:left w:w="28" w:type="dxa"/>
          <w:bottom w:w="28" w:type="dxa"/>
          <w:right w:w="28" w:type="dxa"/>
        </w:tblCellMar>
      </w:tblPr>
      <w:tblGrid>
        <w:gridCol w:w="918"/>
        <w:gridCol w:w="804"/>
        <w:gridCol w:w="812"/>
        <w:gridCol w:w="109"/>
        <w:gridCol w:w="109"/>
        <w:gridCol w:w="109"/>
        <w:gridCol w:w="211"/>
        <w:gridCol w:w="436"/>
        <w:gridCol w:w="271"/>
        <w:gridCol w:w="109"/>
        <w:gridCol w:w="109"/>
        <w:gridCol w:w="109"/>
        <w:gridCol w:w="211"/>
        <w:gridCol w:w="436"/>
        <w:gridCol w:w="271"/>
        <w:gridCol w:w="109"/>
        <w:gridCol w:w="109"/>
        <w:gridCol w:w="109"/>
        <w:gridCol w:w="211"/>
        <w:gridCol w:w="436"/>
        <w:gridCol w:w="316"/>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recorded interest expense of $15 million, compared to $12 million and $15 million in the prior and year-ago quarters, respectively. Interest expense is composed of borrowing and banking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Gain (loss) on financial instruments, net</w:t>
      </w:r>
    </w:p>
    <w:tbl>
      <w:tblPr>
        <w:tblW w:w="7050" w:type="dxa"/>
        <w:jc w:val="left"/>
        <w:tblInd w:w="0" w:type="dxa"/>
        <w:tblLayout w:type="fixed"/>
        <w:tblCellMar>
          <w:top w:w="28" w:type="dxa"/>
          <w:left w:w="28" w:type="dxa"/>
          <w:bottom w:w="28" w:type="dxa"/>
          <w:right w:w="28" w:type="dxa"/>
        </w:tblCellMar>
      </w:tblPr>
      <w:tblGrid>
        <w:gridCol w:w="1210"/>
        <w:gridCol w:w="1066"/>
        <w:gridCol w:w="1069"/>
        <w:gridCol w:w="109"/>
        <w:gridCol w:w="109"/>
        <w:gridCol w:w="109"/>
        <w:gridCol w:w="211"/>
        <w:gridCol w:w="361"/>
        <w:gridCol w:w="271"/>
        <w:gridCol w:w="109"/>
        <w:gridCol w:w="109"/>
        <w:gridCol w:w="109"/>
        <w:gridCol w:w="211"/>
        <w:gridCol w:w="436"/>
        <w:gridCol w:w="271"/>
        <w:gridCol w:w="109"/>
        <w:gridCol w:w="109"/>
        <w:gridCol w:w="109"/>
        <w:gridCol w:w="211"/>
        <w:gridCol w:w="436"/>
        <w:gridCol w:w="316"/>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recognized a $46 million gain on financial instruments, of which a $28 gain on the sale of our equity stake in DustPhotonics and $13 million and $5 million unrealized gains on our investments in InnoScience (Suzhou) Technology Holding Co., Ltd. and Credo Technology Inc., ("Credo"), respectively, both measured at fair value through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Income tax benefit (expense)</w:t>
      </w:r>
    </w:p>
    <w:tbl>
      <w:tblPr>
        <w:tblW w:w="6240"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11"/>
        <w:gridCol w:w="436"/>
        <w:gridCol w:w="271"/>
        <w:gridCol w:w="109"/>
        <w:gridCol w:w="109"/>
        <w:gridCol w:w="109"/>
        <w:gridCol w:w="211"/>
        <w:gridCol w:w="436"/>
        <w:gridCol w:w="271"/>
        <w:gridCol w:w="109"/>
        <w:gridCol w:w="109"/>
        <w:gridCol w:w="109"/>
        <w:gridCol w:w="211"/>
        <w:gridCol w:w="361"/>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40"/>
        <w:jc w:val="both"/>
        <w:rPr/>
      </w:pPr>
      <w:r>
        <w:rPr>
          <w:rFonts w:ascii="Times New Roman;serif" w:hAnsi="Times New Roman;serif"/>
          <w:b w:val="false"/>
          <w:color w:val="000000"/>
          <w:sz w:val="20"/>
        </w:rPr>
        <w:t>During the second quarter of 2026, we registered an income tax expense of $30 million, reflecting a 18.1% estimated annual effective tax rate before discrete items at consolidated level, applied to</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second quarter of 2026 consolidated income before income tax. The estimated annual effective tax rate for the year 2026 includes the estimated impact of Pillar Two taxes of 0.5% applied for the year. The variation in the profit mix mainly explains the decrease compared to the 19.3% actual annual effective tax rate for 2025 before discrete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income (loss) attributable to parent company</w:t>
      </w:r>
    </w:p>
    <w:tbl>
      <w:tblPr>
        <w:tblW w:w="9135" w:type="dxa"/>
        <w:jc w:val="left"/>
        <w:tblInd w:w="0" w:type="dxa"/>
        <w:tblLayout w:type="fixed"/>
        <w:tblCellMar>
          <w:top w:w="28" w:type="dxa"/>
          <w:left w:w="28" w:type="dxa"/>
          <w:bottom w:w="28" w:type="dxa"/>
          <w:right w:w="28" w:type="dxa"/>
        </w:tblCellMar>
      </w:tblPr>
      <w:tblGrid>
        <w:gridCol w:w="1909"/>
        <w:gridCol w:w="1680"/>
        <w:gridCol w:w="1691"/>
        <w:gridCol w:w="109"/>
        <w:gridCol w:w="109"/>
        <w:gridCol w:w="109"/>
        <w:gridCol w:w="211"/>
        <w:gridCol w:w="481"/>
        <w:gridCol w:w="271"/>
        <w:gridCol w:w="109"/>
        <w:gridCol w:w="109"/>
        <w:gridCol w:w="109"/>
        <w:gridCol w:w="211"/>
        <w:gridCol w:w="466"/>
        <w:gridCol w:w="271"/>
        <w:gridCol w:w="109"/>
        <w:gridCol w:w="109"/>
        <w:gridCol w:w="109"/>
        <w:gridCol w:w="211"/>
        <w:gridCol w:w="436"/>
        <w:gridCol w:w="316"/>
      </w:tblGrid>
      <w:tr>
        <w:trPr/>
        <w:tc>
          <w:tcPr>
            <w:tcW w:w="19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28,</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parent company,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Non-U.S. GAAP Net income attributable to parent company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percentage of net revenues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(1)Non-U.S. GAAP. For reconciliation to U.S. GAAP and information explaining why we believe these measures are important, see “Business Overview” section.</w:t>
      </w:r>
    </w:p>
    <w:p>
      <w:pPr>
        <w:pStyle w:val="TextBody"/>
        <w:bidi w:val="0"/>
        <w:spacing w:lineRule="auto" w:line="26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2026, we reported a net income of $222 million, representing diluted earnings per share of $0.24, compared to $0.04 in the prior quarter and -$0.11 in the prior-year quarter.</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non-U.S. GAAP net income stood at $291 million and non-U.S. GAAP diluted Earnings Per Share stood at $0.31.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Six Months of 2026 vs. Six Months of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financial data from our Unaudited Interim Consolidated Statements of Income: </w:t>
      </w:r>
    </w:p>
    <w:tbl>
      <w:tblPr>
        <w:tblW w:w="9731" w:type="dxa"/>
        <w:jc w:val="left"/>
        <w:tblInd w:w="0" w:type="dxa"/>
        <w:tblLayout w:type="fixed"/>
        <w:tblCellMar>
          <w:top w:w="28" w:type="dxa"/>
          <w:left w:w="28" w:type="dxa"/>
          <w:bottom w:w="28" w:type="dxa"/>
          <w:right w:w="28" w:type="dxa"/>
        </w:tblCellMar>
      </w:tblPr>
      <w:tblGrid>
        <w:gridCol w:w="1583"/>
        <w:gridCol w:w="1396"/>
        <w:gridCol w:w="1401"/>
        <w:gridCol w:w="109"/>
        <w:gridCol w:w="109"/>
        <w:gridCol w:w="109"/>
        <w:gridCol w:w="211"/>
        <w:gridCol w:w="616"/>
        <w:gridCol w:w="109"/>
        <w:gridCol w:w="109"/>
        <w:gridCol w:w="109"/>
        <w:gridCol w:w="109"/>
        <w:gridCol w:w="314"/>
        <w:gridCol w:w="317"/>
        <w:gridCol w:w="428"/>
        <w:gridCol w:w="109"/>
        <w:gridCol w:w="109"/>
        <w:gridCol w:w="109"/>
        <w:gridCol w:w="211"/>
        <w:gridCol w:w="616"/>
        <w:gridCol w:w="109"/>
        <w:gridCol w:w="109"/>
        <w:gridCol w:w="109"/>
        <w:gridCol w:w="109"/>
        <w:gridCol w:w="314"/>
        <w:gridCol w:w="317"/>
        <w:gridCol w:w="481"/>
      </w:tblGrid>
      <w:tr>
        <w:trPr/>
        <w:tc>
          <w:tcPr>
            <w:tcW w:w="158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43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 of U.S.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r>
      <w:tr>
        <w:trPr/>
        <w:tc>
          <w:tcPr>
            <w:tcW w:w="43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34.3</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33.5</w:t>
            </w: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w:t>
              <w:br/>
              <w:t>related phase-out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components of pension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and</w:t>
              <w:b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w:t>
              <w:b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parent</w:t>
              <w:br/>
              <w:t>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Non-U.S. GAAP</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(Non-U.S.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(Non-U.S.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Net revenues</w:t>
      </w:r>
    </w:p>
    <w:tbl>
      <w:tblPr>
        <w:tblW w:w="5548" w:type="dxa"/>
        <w:jc w:val="left"/>
        <w:tblInd w:w="0" w:type="dxa"/>
        <w:tblLayout w:type="fixed"/>
        <w:tblCellMar>
          <w:top w:w="28" w:type="dxa"/>
          <w:left w:w="28" w:type="dxa"/>
          <w:bottom w:w="28" w:type="dxa"/>
          <w:right w:w="28" w:type="dxa"/>
        </w:tblCellMar>
      </w:tblPr>
      <w:tblGrid>
        <w:gridCol w:w="482"/>
        <w:gridCol w:w="422"/>
        <w:gridCol w:w="430"/>
        <w:gridCol w:w="109"/>
        <w:gridCol w:w="109"/>
        <w:gridCol w:w="109"/>
        <w:gridCol w:w="211"/>
        <w:gridCol w:w="631"/>
        <w:gridCol w:w="109"/>
        <w:gridCol w:w="109"/>
        <w:gridCol w:w="109"/>
        <w:gridCol w:w="109"/>
        <w:gridCol w:w="211"/>
        <w:gridCol w:w="631"/>
        <w:gridCol w:w="109"/>
        <w:gridCol w:w="109"/>
        <w:gridCol w:w="109"/>
        <w:gridCol w:w="109"/>
        <w:gridCol w:w="291"/>
        <w:gridCol w:w="294"/>
        <w:gridCol w:w="746"/>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Variation</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24.6</w:t>
            </w: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120" w:after="240"/>
        <w:jc w:val="both"/>
        <w:rPr>
          <w:rFonts w:ascii="Times New Roman;serif" w:hAnsi="Times New Roman;serif"/>
          <w:b w:val="false"/>
          <w:color w:val="000000"/>
          <w:sz w:val="20"/>
        </w:rPr>
      </w:pPr>
      <w:r>
        <w:rPr>
          <w:rFonts w:ascii="Times New Roman;serif" w:hAnsi="Times New Roman;serif"/>
          <w:b w:val="false"/>
          <w:color w:val="000000"/>
          <w:sz w:val="20"/>
        </w:rPr>
        <w:t>Our first six months 2026 net revenues increased 24.6% compared to the year-ago period, as a result of an approximate 20% increase in volumes and a 5% increase in average selling prices, mainly due to a more favorable product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revenues by reportable segment</w:t>
      </w:r>
    </w:p>
    <w:tbl>
      <w:tblPr>
        <w:tblW w:w="9417" w:type="dxa"/>
        <w:jc w:val="left"/>
        <w:tblInd w:w="0" w:type="dxa"/>
        <w:tblLayout w:type="fixed"/>
        <w:tblCellMar>
          <w:top w:w="28" w:type="dxa"/>
          <w:left w:w="28" w:type="dxa"/>
          <w:bottom w:w="28" w:type="dxa"/>
          <w:right w:w="28" w:type="dxa"/>
        </w:tblCellMar>
      </w:tblPr>
      <w:tblGrid>
        <w:gridCol w:w="1937"/>
        <w:gridCol w:w="1701"/>
        <w:gridCol w:w="1716"/>
        <w:gridCol w:w="109"/>
        <w:gridCol w:w="109"/>
        <w:gridCol w:w="109"/>
        <w:gridCol w:w="211"/>
        <w:gridCol w:w="631"/>
        <w:gridCol w:w="109"/>
        <w:gridCol w:w="109"/>
        <w:gridCol w:w="109"/>
        <w:gridCol w:w="109"/>
        <w:gridCol w:w="211"/>
        <w:gridCol w:w="631"/>
        <w:gridCol w:w="109"/>
        <w:gridCol w:w="109"/>
        <w:gridCol w:w="109"/>
        <w:gridCol w:w="109"/>
        <w:gridCol w:w="262"/>
        <w:gridCol w:w="264"/>
        <w:gridCol w:w="654"/>
      </w:tblGrid>
      <w:tr>
        <w:trPr/>
        <w:tc>
          <w:tcPr>
            <w:tcW w:w="193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Variation</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AM&amp;S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P&amp;D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Analog, Power &amp; Discrete, MEMS and Sensors Group (APMS)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w:t>
            </w: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RFOC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Microcontrollers, Digital ICs and RF products Group (MDRF)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w:t>
            </w: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24.6</w:t>
            </w: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240" w:after="240"/>
        <w:jc w:val="both"/>
        <w:rPr/>
      </w:pPr>
      <w:r>
        <w:rPr>
          <w:rFonts w:ascii="Times New Roman;serif" w:hAnsi="Times New Roman;serif"/>
          <w:b w:val="false"/>
          <w:color w:val="000000"/>
          <w:sz w:val="20"/>
        </w:rPr>
        <w:t>By reportable segment, AM&amp;S revenues increased by 24.6%, due to higher volumes of approximately 17%, and higher average selling prices of approximately 8%, due to product mix. P&amp;D revenues remained substantially flat, increasing by 1.1%. EMP revenu</w:t>
      </w:r>
      <w:r>
        <w:rPr>
          <w:rFonts w:ascii="Times New Roman;serif" w:hAnsi="Times New Roman;serif"/>
          <w:b w:val="false"/>
          <w:color w:val="000000"/>
          <w:sz w:val="20"/>
          <w:shd w:fill="FFFFFF" w:val="clear"/>
        </w:rPr>
        <w:t>es inc</w:t>
      </w:r>
      <w:r>
        <w:rPr>
          <w:rFonts w:ascii="Times New Roman;serif" w:hAnsi="Times New Roman;serif"/>
          <w:b w:val="false"/>
          <w:color w:val="000000"/>
          <w:sz w:val="20"/>
        </w:rPr>
        <w:t>reased 33.5% co</w:t>
      </w:r>
      <w:r>
        <w:rPr>
          <w:rFonts w:ascii="Times New Roman;serif" w:hAnsi="Times New Roman;serif"/>
          <w:b w:val="false"/>
          <w:color w:val="000000"/>
          <w:sz w:val="20"/>
          <w:shd w:fill="FFFFFF" w:val="clear"/>
        </w:rPr>
        <w:t>mpared to the prior-year period, driven by higher volumes o</w:t>
      </w:r>
      <w:r>
        <w:rPr>
          <w:rFonts w:ascii="Times New Roman;serif" w:hAnsi="Times New Roman;serif"/>
          <w:b w:val="false"/>
          <w:color w:val="000000"/>
          <w:sz w:val="20"/>
        </w:rPr>
        <w:t xml:space="preserve">f approximately 18% and higher average selling prices of approximately 16%, due to a more favorable product mix. RFOC revenues increased 32.9% compared to the prior-year period, mainly due to higher volumes.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erif" w:hAnsi="Times New Roman;serif"/>
          <w:b/>
          <w:i/>
          <w:color w:val="000000"/>
          <w:sz w:val="20"/>
        </w:rPr>
        <w:t xml:space="preserve">Net Revenues by Market Channel </w:t>
      </w:r>
      <w:r>
        <w:rPr>
          <w:rFonts w:ascii="Times New Roman;serif" w:hAnsi="Times New Roman;serif"/>
          <w:b/>
          <w:i/>
          <w:color w:val="000000"/>
          <w:sz w:val="13"/>
        </w:rPr>
        <w:t>(1)</w:t>
      </w:r>
    </w:p>
    <w:tbl>
      <w:tblPr>
        <w:tblW w:w="3671" w:type="dxa"/>
        <w:jc w:val="left"/>
        <w:tblInd w:w="0" w:type="dxa"/>
        <w:tblLayout w:type="fixed"/>
        <w:tblCellMar>
          <w:top w:w="28" w:type="dxa"/>
          <w:left w:w="28" w:type="dxa"/>
          <w:bottom w:w="28" w:type="dxa"/>
          <w:right w:w="28" w:type="dxa"/>
        </w:tblCellMar>
      </w:tblPr>
      <w:tblGrid>
        <w:gridCol w:w="401"/>
        <w:gridCol w:w="353"/>
        <w:gridCol w:w="357"/>
        <w:gridCol w:w="109"/>
        <w:gridCol w:w="109"/>
        <w:gridCol w:w="109"/>
        <w:gridCol w:w="239"/>
        <w:gridCol w:w="242"/>
        <w:gridCol w:w="444"/>
        <w:gridCol w:w="110"/>
        <w:gridCol w:w="110"/>
        <w:gridCol w:w="110"/>
        <w:gridCol w:w="239"/>
        <w:gridCol w:w="242"/>
        <w:gridCol w:w="497"/>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w:t>
            </w:r>
            <w:r>
              <w:rPr>
                <w:color w:val="000000"/>
              </w:rPr>
              <w:t> </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(1)OEM are the end-customers to which we provide direct marketing application engineering support, while Distribution refers to the distributors and representatives that we engage to distribute our products around the world.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By market channel, distribution increased to a 29% share of total revenues in the first six months of 2026, compared to 28% in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i/>
          <w:color w:val="000000"/>
          <w:sz w:val="20"/>
        </w:rPr>
        <w:t>Net Revenues by Location of Shipment</w:t>
      </w:r>
      <w:r>
        <w:rPr>
          <w:rFonts w:ascii="Times New Roman;serif" w:hAnsi="Times New Roman;serif"/>
          <w:b/>
          <w:i/>
          <w:color w:val="000000"/>
          <w:sz w:val="13"/>
        </w:rPr>
        <w:t>(1)</w:t>
      </w:r>
    </w:p>
    <w:tbl>
      <w:tblPr>
        <w:tblW w:w="6853" w:type="dxa"/>
        <w:jc w:val="left"/>
        <w:tblInd w:w="0" w:type="dxa"/>
        <w:tblLayout w:type="fixed"/>
        <w:tblCellMar>
          <w:top w:w="28" w:type="dxa"/>
          <w:left w:w="28" w:type="dxa"/>
          <w:bottom w:w="28" w:type="dxa"/>
          <w:right w:w="28" w:type="dxa"/>
        </w:tblCellMar>
      </w:tblPr>
      <w:tblGrid>
        <w:gridCol w:w="1007"/>
        <w:gridCol w:w="887"/>
        <w:gridCol w:w="896"/>
        <w:gridCol w:w="109"/>
        <w:gridCol w:w="109"/>
        <w:gridCol w:w="109"/>
        <w:gridCol w:w="211"/>
        <w:gridCol w:w="631"/>
        <w:gridCol w:w="109"/>
        <w:gridCol w:w="109"/>
        <w:gridCol w:w="109"/>
        <w:gridCol w:w="109"/>
        <w:gridCol w:w="211"/>
        <w:gridCol w:w="631"/>
        <w:gridCol w:w="109"/>
        <w:gridCol w:w="109"/>
        <w:gridCol w:w="109"/>
        <w:gridCol w:w="109"/>
        <w:gridCol w:w="262"/>
        <w:gridCol w:w="264"/>
        <w:gridCol w:w="654"/>
      </w:tblGrid>
      <w:tr>
        <w:trPr/>
        <w:tc>
          <w:tcPr>
            <w:tcW w:w="10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 Variation</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24.6</w:t>
            </w: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revenues by location of shipment are classified by location of customer invoiced or reclassified by shipment destination in line with customer demand. For example, products ordered by U.S. based companies to be invoiced to Asia Pacific affiliates are classified as Asia Pacific revenues. Furthermore, the comparison among the different periods may be affected by shifts in shipments from one location to another, as requested by our customers.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By location of shipment, EMEA revenues increased by 34.1%, mainly driven by higher sales in Custom Processing, General-Purpose &amp; Automotive Microcontrollers and Analog. Americas revenues increased 3.4%, mainly due to higher sales in RF Optical Communications. Asia Pacific revenues increased 27.2%, mainly due to higher sales in General-Purpose &amp; Automotive Microcontrollers, Imaging and RF Optical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Gross profit </w:t>
      </w:r>
    </w:p>
    <w:p>
      <w:pPr>
        <w:pStyle w:val="TextBody"/>
        <w:bidi w:val="0"/>
        <w:spacing w:before="0" w:after="0"/>
        <w:jc w:val="both"/>
        <w:rPr/>
      </w:pPr>
      <w:r>
        <w:rPr/>
      </w:r>
    </w:p>
    <w:tbl>
      <w:tblPr>
        <w:tblW w:w="7030" w:type="dxa"/>
        <w:jc w:val="left"/>
        <w:tblInd w:w="0" w:type="dxa"/>
        <w:tblLayout w:type="fixed"/>
        <w:tblCellMar>
          <w:top w:w="28" w:type="dxa"/>
          <w:left w:w="28" w:type="dxa"/>
          <w:bottom w:w="28" w:type="dxa"/>
          <w:right w:w="28" w:type="dxa"/>
        </w:tblCellMar>
      </w:tblPr>
      <w:tblGrid>
        <w:gridCol w:w="1029"/>
        <w:gridCol w:w="897"/>
        <w:gridCol w:w="908"/>
        <w:gridCol w:w="109"/>
        <w:gridCol w:w="109"/>
        <w:gridCol w:w="109"/>
        <w:gridCol w:w="211"/>
        <w:gridCol w:w="616"/>
        <w:gridCol w:w="271"/>
        <w:gridCol w:w="109"/>
        <w:gridCol w:w="109"/>
        <w:gridCol w:w="109"/>
        <w:gridCol w:w="211"/>
        <w:gridCol w:w="616"/>
        <w:gridCol w:w="271"/>
        <w:gridCol w:w="109"/>
        <w:gridCol w:w="109"/>
        <w:gridCol w:w="109"/>
        <w:gridCol w:w="255"/>
        <w:gridCol w:w="256"/>
        <w:gridCol w:w="508"/>
      </w:tblGrid>
      <w:tr>
        <w:trPr/>
        <w:tc>
          <w:tcPr>
            <w:tcW w:w="10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Variation</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b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bps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Non-U.S. GAAP Gross profit</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Non-U.S. GAAP Gross margin</w:t>
            </w:r>
          </w:p>
          <w:p>
            <w:pPr>
              <w:pStyle w:val="TableContents"/>
              <w:bidi w:val="0"/>
              <w:spacing w:lineRule="auto" w:line="288" w:before="0" w:after="0"/>
              <w:jc w:val="left"/>
              <w:rPr/>
            </w:pPr>
            <w:r>
              <w:rPr>
                <w:rFonts w:ascii="Times New Roman;serif" w:hAnsi="Times New Roman;serif"/>
                <w:b w:val="false"/>
                <w:color w:val="000000"/>
                <w:sz w:val="20"/>
              </w:rPr>
              <w:t>(as percentage of net revenues)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bps</w:t>
            </w:r>
          </w:p>
        </w:tc>
      </w:tr>
    </w:tbl>
    <w:p>
      <w:pPr>
        <w:pStyle w:val="TextBody"/>
        <w:bidi w:val="0"/>
        <w:spacing w:lineRule="auto" w:line="240"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Non-U.S. GAAP. For reconciliation to U.S. GAAP and information explaining why we believe these measures are important, see “Business Overview” section.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Gross margin was 34.3% for the first six months of 2026. Gross profit included $25 million PPA effects from the acquisition of MEMS sensor business. Non-U.S. GAAP gross margin, excluding this item, was 34.7% increasing by 130 basis points, mainly due to lower unused capacity charges and a more favorable product mix, partially offset by negative currency effects and sales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tbl>
      <w:tblPr>
        <w:tblW w:w="8068" w:type="dxa"/>
        <w:jc w:val="left"/>
        <w:tblInd w:w="0" w:type="dxa"/>
        <w:tblLayout w:type="fixed"/>
        <w:tblCellMar>
          <w:top w:w="28" w:type="dxa"/>
          <w:left w:w="28" w:type="dxa"/>
          <w:bottom w:w="28" w:type="dxa"/>
          <w:right w:w="28" w:type="dxa"/>
        </w:tblCellMar>
      </w:tblPr>
      <w:tblGrid>
        <w:gridCol w:w="1354"/>
        <w:gridCol w:w="1189"/>
        <w:gridCol w:w="1192"/>
        <w:gridCol w:w="109"/>
        <w:gridCol w:w="109"/>
        <w:gridCol w:w="109"/>
        <w:gridCol w:w="211"/>
        <w:gridCol w:w="691"/>
        <w:gridCol w:w="271"/>
        <w:gridCol w:w="109"/>
        <w:gridCol w:w="109"/>
        <w:gridCol w:w="109"/>
        <w:gridCol w:w="211"/>
        <w:gridCol w:w="691"/>
        <w:gridCol w:w="271"/>
        <w:gridCol w:w="109"/>
        <w:gridCol w:w="109"/>
        <w:gridCol w:w="109"/>
        <w:gridCol w:w="239"/>
        <w:gridCol w:w="241"/>
        <w:gridCol w:w="526"/>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Variation</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bps</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decreased by $130 million compared to the year-ago period, mainly due to negative currency effect and cost of labor, NXP sensors business and PPA effects, partially offset by lower discretionary expenses.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a percentage of net revenues, our operating expenses amounted to 29.6%, decreasing from 34.3% in the year-ago period.</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240"/>
        <w:jc w:val="both"/>
        <w:rPr/>
      </w:pPr>
      <w:r>
        <w:rPr>
          <w:rFonts w:ascii="Times New Roman;serif" w:hAnsi="Times New Roman;serif"/>
          <w:b w:val="false"/>
          <w:color w:val="000000"/>
          <w:sz w:val="20"/>
        </w:rPr>
        <w:t>Total R&amp;D expenses were net of research tax credits, which amounted to $63 mill</w:t>
      </w:r>
      <w:r>
        <w:rPr>
          <w:rFonts w:ascii="Times New Roman;serif" w:hAnsi="Times New Roman;serif"/>
          <w:b w:val="false"/>
          <w:color w:val="000000"/>
          <w:sz w:val="20"/>
          <w:shd w:fill="FFFFFF" w:val="clear"/>
        </w:rPr>
        <w:t>ion in the first six months of 2026 compared to $62 million in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Other income and expenses, net</w:t>
      </w:r>
    </w:p>
    <w:tbl>
      <w:tblPr>
        <w:tblW w:w="5685" w:type="dxa"/>
        <w:jc w:val="left"/>
        <w:tblInd w:w="0" w:type="dxa"/>
        <w:tblLayout w:type="fixed"/>
        <w:tblCellMar>
          <w:top w:w="28" w:type="dxa"/>
          <w:left w:w="28" w:type="dxa"/>
          <w:bottom w:w="28" w:type="dxa"/>
          <w:right w:w="28" w:type="dxa"/>
        </w:tblCellMar>
      </w:tblPr>
      <w:tblGrid>
        <w:gridCol w:w="1113"/>
        <w:gridCol w:w="979"/>
        <w:gridCol w:w="983"/>
        <w:gridCol w:w="109"/>
        <w:gridCol w:w="109"/>
        <w:gridCol w:w="109"/>
        <w:gridCol w:w="211"/>
        <w:gridCol w:w="466"/>
        <w:gridCol w:w="271"/>
        <w:gridCol w:w="109"/>
        <w:gridCol w:w="109"/>
        <w:gridCol w:w="109"/>
        <w:gridCol w:w="211"/>
        <w:gridCol w:w="481"/>
        <w:gridCol w:w="316"/>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and postponement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and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115</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other income and expenses, net, amounted to a $70 million income, decreasing by $45 million from $115 million during the first six months of 2025, mainly due to higher start-up and patent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Impairment, restructuring charges and other related phase-out costs</w:t>
      </w:r>
    </w:p>
    <w:tbl>
      <w:tblPr>
        <w:tblW w:w="8279" w:type="dxa"/>
        <w:jc w:val="left"/>
        <w:tblInd w:w="0" w:type="dxa"/>
        <w:tblLayout w:type="fixed"/>
        <w:tblCellMar>
          <w:top w:w="28" w:type="dxa"/>
          <w:left w:w="28" w:type="dxa"/>
          <w:bottom w:w="28" w:type="dxa"/>
          <w:right w:w="28" w:type="dxa"/>
        </w:tblCellMar>
      </w:tblPr>
      <w:tblGrid>
        <w:gridCol w:w="2005"/>
        <w:gridCol w:w="1762"/>
        <w:gridCol w:w="1767"/>
        <w:gridCol w:w="109"/>
        <w:gridCol w:w="109"/>
        <w:gridCol w:w="109"/>
        <w:gridCol w:w="211"/>
        <w:gridCol w:w="541"/>
        <w:gridCol w:w="271"/>
        <w:gridCol w:w="109"/>
        <w:gridCol w:w="109"/>
        <w:gridCol w:w="109"/>
        <w:gridCol w:w="211"/>
        <w:gridCol w:w="541"/>
        <w:gridCol w:w="316"/>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 totaled $129 million in the first six months of 2026, including $91 million of restructuring charges, of which $64 million for labor-related costs and $27 million for non-labor related costs. We also recorded $38 million of phase-out costs. In the first six months of 2025, restructuring charges totaled $198 million of which $133 million impairment charges following the launch in the second quarter of 2025 of the manufacturing reshaping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Operating income (loss)</w:t>
      </w:r>
    </w:p>
    <w:tbl>
      <w:tblPr>
        <w:tblW w:w="5565" w:type="dxa"/>
        <w:jc w:val="left"/>
        <w:tblInd w:w="0" w:type="dxa"/>
        <w:tblLayout w:type="fixed"/>
        <w:tblCellMar>
          <w:top w:w="28" w:type="dxa"/>
          <w:left w:w="28" w:type="dxa"/>
          <w:bottom w:w="28" w:type="dxa"/>
          <w:right w:w="28" w:type="dxa"/>
        </w:tblCellMar>
      </w:tblPr>
      <w:tblGrid>
        <w:gridCol w:w="1043"/>
        <w:gridCol w:w="916"/>
        <w:gridCol w:w="921"/>
        <w:gridCol w:w="109"/>
        <w:gridCol w:w="109"/>
        <w:gridCol w:w="109"/>
        <w:gridCol w:w="211"/>
        <w:gridCol w:w="481"/>
        <w:gridCol w:w="271"/>
        <w:gridCol w:w="109"/>
        <w:gridCol w:w="109"/>
        <w:gridCol w:w="109"/>
        <w:gridCol w:w="211"/>
        <w:gridCol w:w="541"/>
        <w:gridCol w:w="316"/>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 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pPr>
      <w:r>
        <w:rPr>
          <w:rFonts w:ascii="Times New Roman;serif" w:hAnsi="Times New Roman;serif"/>
          <w:b w:val="false"/>
          <w:color w:val="000000"/>
          <w:sz w:val="20"/>
        </w:rPr>
        <w:t>Operating income in the first six months of 2026 increased by</w:t>
      </w:r>
      <w:r>
        <w:rPr>
          <w:color w:val="000000"/>
          <w:shd w:fill="FFFFFF" w:val="clear"/>
        </w:rPr>
        <w:t xml:space="preserve"> </w:t>
      </w:r>
      <w:r>
        <w:rPr>
          <w:rFonts w:ascii="Times New Roman;serif" w:hAnsi="Times New Roman;serif"/>
          <w:b w:val="false"/>
          <w:color w:val="000000"/>
          <w:sz w:val="20"/>
        </w:rPr>
        <w:t>$387</w:t>
      </w:r>
      <w:r>
        <w:rPr>
          <w:color w:val="000000"/>
          <w:shd w:fill="FFFFFF" w:val="clear"/>
        </w:rPr>
        <w:t xml:space="preserve"> </w:t>
      </w:r>
      <w:r>
        <w:rPr>
          <w:rFonts w:ascii="Times New Roman;serif" w:hAnsi="Times New Roman;serif"/>
          <w:b w:val="false"/>
          <w:color w:val="000000"/>
          <w:sz w:val="20"/>
          <w:shd w:fill="FFFFFF" w:val="clear"/>
        </w:rPr>
        <w:t>m</w:t>
      </w:r>
      <w:r>
        <w:rPr>
          <w:rFonts w:ascii="Times New Roman;serif" w:hAnsi="Times New Roman;serif"/>
          <w:b w:val="false"/>
          <w:color w:val="000000"/>
          <w:sz w:val="20"/>
        </w:rPr>
        <w:t>illion to $257 million, compared to a $130 million operating loss in the prior-year period. Operating income in the first six months of 2026 included $129 million impairment, restructuring charges and other related phase-out costs compared to $190 million in the prior-year period. Excluding these items, non-U.S. GAAP Operating income amounted to $439 million compared to $68 million in the year-ago period, mainly due to an increase in volumes and gross margin profitability, partially offset by negative currency effects.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Operating income (loss) by reportable segment</w:t>
      </w:r>
    </w:p>
    <w:tbl>
      <w:tblPr>
        <w:tblW w:w="10205" w:type="dxa"/>
        <w:jc w:val="left"/>
        <w:tblInd w:w="0" w:type="dxa"/>
        <w:tblLayout w:type="fixed"/>
        <w:tblCellMar>
          <w:top w:w="28" w:type="dxa"/>
          <w:left w:w="28" w:type="dxa"/>
          <w:bottom w:w="28" w:type="dxa"/>
          <w:right w:w="28" w:type="dxa"/>
        </w:tblCellMar>
      </w:tblPr>
      <w:tblGrid>
        <w:gridCol w:w="1905"/>
        <w:gridCol w:w="1650"/>
        <w:gridCol w:w="1663"/>
        <w:gridCol w:w="109"/>
        <w:gridCol w:w="109"/>
        <w:gridCol w:w="109"/>
        <w:gridCol w:w="211"/>
        <w:gridCol w:w="481"/>
        <w:gridCol w:w="109"/>
        <w:gridCol w:w="109"/>
        <w:gridCol w:w="109"/>
        <w:gridCol w:w="109"/>
        <w:gridCol w:w="289"/>
        <w:gridCol w:w="292"/>
        <w:gridCol w:w="428"/>
        <w:gridCol w:w="109"/>
        <w:gridCol w:w="109"/>
        <w:gridCol w:w="109"/>
        <w:gridCol w:w="211"/>
        <w:gridCol w:w="538"/>
        <w:gridCol w:w="109"/>
        <w:gridCol w:w="109"/>
        <w:gridCol w:w="109"/>
        <w:gridCol w:w="109"/>
        <w:gridCol w:w="261"/>
        <w:gridCol w:w="265"/>
        <w:gridCol w:w="485"/>
      </w:tblGrid>
      <w:tr>
        <w:trPr/>
        <w:tc>
          <w:tcPr>
            <w:tcW w:w="19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net</w:t>
              <w:br/>
              <w:t>revenues</w:t>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AM&amp;S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P&amp;D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Analog, Power &amp; Discrete, MEMS and Sensors Group (APMS)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RFOC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Microcontrollers, Digital ICs and RF products Group (MDRF)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18.3</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w:t>
            </w: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income of operating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10.1</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w:t>
            </w: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68" w:before="0" w:after="24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Operating income (loss) of “Others” includes items such as unused capacity charges, incidents leading to power outage, impairment, restructuring charges and other related phase-out costs, management reorganization costs, start-up costs, and other unallocated income (expenses) such as: strategic or special research and development programs, certain corporate-level operating expenses, patent claims and litigations, and other costs that are not allocated to reportable segments (e.g. urgent freight costs, changes in fair value measurement on contingent consideration liabilities), operating earnings of other products, as well as the effects of purchase price allocation in case of business acquisitions</w:t>
      </w:r>
      <w:r>
        <w:rPr>
          <w:rFonts w:ascii="Times New Roman;serif" w:hAnsi="Times New Roman;serif"/>
          <w:b w:val="false"/>
          <w:color w:val="000000"/>
          <w:sz w:val="16"/>
          <w:shd w:fill="FFFFFF" w:val="clear"/>
        </w:rPr>
        <w: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AM&amp;S operating income increased by $138 million to $305 million, mainly driven by higher profitability in Imaging and MEMS. P&amp;D operating loss was $183 million, compared to an operating loss of $83 million in the year ago period. EMP operating income was $390 million, higher by $211 million mainly due to higher profitability in General-Purpose &amp; Automotive Microcontrollers and Custom Processing. RFOC operating income amounted to $155 million, increasing by $52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Reconciliation to consolidated operating income (loss)</w:t>
      </w:r>
    </w:p>
    <w:tbl>
      <w:tblPr>
        <w:tblW w:w="7895" w:type="dxa"/>
        <w:jc w:val="left"/>
        <w:tblInd w:w="0" w:type="dxa"/>
        <w:tblLayout w:type="fixed"/>
        <w:tblCellMar>
          <w:top w:w="28" w:type="dxa"/>
          <w:left w:w="28" w:type="dxa"/>
          <w:bottom w:w="28" w:type="dxa"/>
          <w:right w:w="28" w:type="dxa"/>
        </w:tblCellMar>
      </w:tblPr>
      <w:tblGrid>
        <w:gridCol w:w="2005"/>
        <w:gridCol w:w="1762"/>
        <w:gridCol w:w="1767"/>
        <w:gridCol w:w="109"/>
        <w:gridCol w:w="109"/>
        <w:gridCol w:w="109"/>
        <w:gridCol w:w="211"/>
        <w:gridCol w:w="481"/>
        <w:gridCol w:w="109"/>
        <w:gridCol w:w="109"/>
        <w:gridCol w:w="109"/>
        <w:gridCol w:w="109"/>
        <w:gridCol w:w="211"/>
        <w:gridCol w:w="541"/>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income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Unused capacity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PPA effects of MEMS sensor business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manufacturing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fees of committed equipment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and R&amp;D programs and other non-allocated provisions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loss of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unallocated income and expenses such as certain corporate-level operating expenses and other income (costs) that are not allocated to the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before="0" w:after="0"/>
        <w:jc w:val="both"/>
        <w:rPr/>
      </w:pPr>
      <w:r>
        <w:rPr/>
      </w:r>
    </w:p>
    <w:tbl>
      <w:tblPr>
        <w:tblW w:w="5025" w:type="dxa"/>
        <w:jc w:val="left"/>
        <w:tblInd w:w="0" w:type="dxa"/>
        <w:tblLayout w:type="fixed"/>
        <w:tblCellMar>
          <w:top w:w="28" w:type="dxa"/>
          <w:left w:w="28" w:type="dxa"/>
          <w:bottom w:w="28" w:type="dxa"/>
          <w:right w:w="28" w:type="dxa"/>
        </w:tblCellMar>
      </w:tblPr>
      <w:tblGrid>
        <w:gridCol w:w="918"/>
        <w:gridCol w:w="805"/>
        <w:gridCol w:w="812"/>
        <w:gridCol w:w="109"/>
        <w:gridCol w:w="109"/>
        <w:gridCol w:w="109"/>
        <w:gridCol w:w="211"/>
        <w:gridCol w:w="361"/>
        <w:gridCol w:w="271"/>
        <w:gridCol w:w="109"/>
        <w:gridCol w:w="109"/>
        <w:gridCol w:w="109"/>
        <w:gridCol w:w="211"/>
        <w:gridCol w:w="466"/>
        <w:gridCol w:w="316"/>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we recorded interest income of $80 million, compared to $122 million in the year-ago period. The decrease in interest income was mainly due to lower U.S dollar interest yields.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both"/>
        <w:rPr/>
      </w:pPr>
      <w:r>
        <w:rPr/>
      </w:r>
    </w:p>
    <w:tbl>
      <w:tblPr>
        <w:tblW w:w="5069" w:type="dxa"/>
        <w:jc w:val="left"/>
        <w:tblInd w:w="0" w:type="dxa"/>
        <w:tblLayout w:type="fixed"/>
        <w:tblCellMar>
          <w:top w:w="28" w:type="dxa"/>
          <w:left w:w="28" w:type="dxa"/>
          <w:bottom w:w="28" w:type="dxa"/>
          <w:right w:w="28" w:type="dxa"/>
        </w:tblCellMar>
      </w:tblPr>
      <w:tblGrid>
        <w:gridCol w:w="918"/>
        <w:gridCol w:w="804"/>
        <w:gridCol w:w="812"/>
        <w:gridCol w:w="109"/>
        <w:gridCol w:w="109"/>
        <w:gridCol w:w="109"/>
        <w:gridCol w:w="211"/>
        <w:gridCol w:w="436"/>
        <w:gridCol w:w="271"/>
        <w:gridCol w:w="109"/>
        <w:gridCol w:w="109"/>
        <w:gridCol w:w="109"/>
        <w:gridCol w:w="211"/>
        <w:gridCol w:w="436"/>
        <w:gridCol w:w="316"/>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we recorded interest expense of $28 million, compared to $29 million in the year-ago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Gain (loss) on financial instruments, net</w:t>
      </w:r>
    </w:p>
    <w:tbl>
      <w:tblPr>
        <w:tblW w:w="5574" w:type="dxa"/>
        <w:jc w:val="left"/>
        <w:tblInd w:w="0" w:type="dxa"/>
        <w:tblLayout w:type="fixed"/>
        <w:tblCellMar>
          <w:top w:w="28" w:type="dxa"/>
          <w:left w:w="28" w:type="dxa"/>
          <w:bottom w:w="28" w:type="dxa"/>
          <w:right w:w="28" w:type="dxa"/>
        </w:tblCellMar>
      </w:tblPr>
      <w:tblGrid>
        <w:gridCol w:w="1210"/>
        <w:gridCol w:w="1066"/>
        <w:gridCol w:w="1069"/>
        <w:gridCol w:w="109"/>
        <w:gridCol w:w="109"/>
        <w:gridCol w:w="109"/>
        <w:gridCol w:w="219"/>
        <w:gridCol w:w="265"/>
        <w:gridCol w:w="281"/>
        <w:gridCol w:w="109"/>
        <w:gridCol w:w="109"/>
        <w:gridCol w:w="109"/>
        <w:gridCol w:w="218"/>
        <w:gridCol w:w="265"/>
        <w:gridCol w:w="327"/>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we recognized a $7 million net gain on financial instruments. This gain is mainly due to the sale of the DustPhotonics investment which generated a gain of $28 million in the second quarter of 2026, and to the $5 million unrealized gain on our equity stake in Credo, partially offset by the $26 million unrealized loss on our equity stake in InnoScience, both measured at fair value through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before="0" w:after="0"/>
        <w:jc w:val="both"/>
        <w:rPr/>
      </w:pPr>
      <w:r>
        <w:rPr/>
      </w:r>
    </w:p>
    <w:tbl>
      <w:tblPr>
        <w:tblW w:w="4917"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11"/>
        <w:gridCol w:w="436"/>
        <w:gridCol w:w="271"/>
        <w:gridCol w:w="109"/>
        <w:gridCol w:w="109"/>
        <w:gridCol w:w="109"/>
        <w:gridCol w:w="218"/>
        <w:gridCol w:w="265"/>
        <w:gridCol w:w="327"/>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jc w:val="both"/>
        <w:rPr/>
      </w:pPr>
      <w:r>
        <w:rPr>
          <w:rFonts w:ascii="Times New Roman;serif" w:hAnsi="Times New Roman;serif"/>
          <w:b w:val="false"/>
          <w:color w:val="000000"/>
          <w:sz w:val="20"/>
        </w:rPr>
        <w:t xml:space="preserve">During the first six months of 2026, we registered an income tax expense of $40 million, reflecting a 18.1% </w:t>
      </w:r>
      <w:r>
        <w:rPr>
          <w:rFonts w:ascii="Times New Roman;serif" w:hAnsi="Times New Roman;serif"/>
          <w:b w:val="false"/>
          <w:color w:val="000000"/>
          <w:sz w:val="20"/>
          <w:shd w:fill="FFFFFF" w:val="clear"/>
        </w:rPr>
        <w:t>est</w:t>
      </w:r>
      <w:r>
        <w:rPr>
          <w:rFonts w:ascii="Times New Roman;serif" w:hAnsi="Times New Roman;serif"/>
          <w:b w:val="false"/>
          <w:color w:val="000000"/>
          <w:sz w:val="20"/>
        </w:rPr>
        <w:t>imated annual effective tax rate before discrete items at consolidated level, applied to the first six months of 2026 consolidated profit before tax. The estimated annual effective tax rate for the year 2026 includes an estimated 0.5% impact of Pillar Two taxes.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2025, we registered an income tax benefit of $4 million.</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tax rate is variable and depends on changes in the level of operating results within various local jurisdictions and on changes in the applicable taxation rates of these jurisdictions, as well as changes in estimates on our tax provisions. For 2026, it also takes into account the estimated impact of Pillar Two taxes. Our income tax amounts and rates also depend on our tax loss carry-forwards and their relevant valuation allowance, which are based on estimated projected plans and available tax planning strategies. In the case of material changes in these plans, the valuation allowance could be adjusted accordingly, with an impact on our income tax expense. In addition, our annual income tax expense includes the estimated impact of provisions related to potential tax positions which have been considered as uncertain, based on our best current understanding. However, tax exposures may require additional provisions in the future for amounts that cannot currently be assessed.</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income (loss) attributable to parent company</w:t>
      </w:r>
    </w:p>
    <w:tbl>
      <w:tblPr>
        <w:tblW w:w="7694" w:type="dxa"/>
        <w:jc w:val="left"/>
        <w:tblInd w:w="0" w:type="dxa"/>
        <w:tblLayout w:type="fixed"/>
        <w:tblCellMar>
          <w:top w:w="28" w:type="dxa"/>
          <w:left w:w="28" w:type="dxa"/>
          <w:bottom w:w="28" w:type="dxa"/>
          <w:right w:w="28" w:type="dxa"/>
        </w:tblCellMar>
      </w:tblPr>
      <w:tblGrid>
        <w:gridCol w:w="1846"/>
        <w:gridCol w:w="1622"/>
        <w:gridCol w:w="1631"/>
        <w:gridCol w:w="109"/>
        <w:gridCol w:w="109"/>
        <w:gridCol w:w="109"/>
        <w:gridCol w:w="211"/>
        <w:gridCol w:w="466"/>
        <w:gridCol w:w="271"/>
        <w:gridCol w:w="109"/>
        <w:gridCol w:w="109"/>
        <w:gridCol w:w="109"/>
        <w:gridCol w:w="211"/>
        <w:gridCol w:w="4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parent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percentage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Non-U.S. GAAP Net income attributable to parent company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percentage of net revenues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(1)Non-U.S. GAAP. For reconciliation to U.S. GAAP and information explaining why we believe these measures are important, see “Business Overview” section.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first six months of 2026, we reported a net income of $259 million, representing diluted earnings per share of $0.28, compared to a net loss of $41 million in the prior year period, representing diluted earnings per share of -$0.05.</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non-U.S. GAAP net income stood at $413 million and non-U.S. GAAP diluted Earnings Per Share stood at $0.45.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 a discussion of legal proceedings, see Note 30 Contingencies, Claims and Legal Proceedings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40"/>
        <w:jc w:val="both"/>
        <w:rPr>
          <w:rFonts w:ascii="Times New Roman;serif" w:hAnsi="Times New Roman;serif"/>
          <w:b/>
          <w:color w:val="000000"/>
          <w:sz w:val="20"/>
        </w:rPr>
      </w:pPr>
      <w:r>
        <w:rPr>
          <w:rFonts w:ascii="Times New Roman;serif" w:hAnsi="Times New Roman;serif"/>
          <w:b/>
          <w:color w:val="000000"/>
          <w:sz w:val="20"/>
        </w:rPr>
        <w:t xml:space="preserve">Impact of Changes in Exchange Rates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financial condition can be significantly affected by material changes in the exchange rates between the U.S. dollar and other currencies, particularly the Euro.</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a market practice, the reference currency for the semiconductor industry is the U.S. dollar and the market prices of semiconductor products are mainly denominated in U.S. dollars. However, revenues for some of our products are quoted in currencies other than the U.S. dollar, such as Euro-denominated sales, and consequently are directly affected by fluctuations in the value of the U.S. dollar. As a result of currency variations, the appreciation of the Euro compared to the U.S. dollar could increase our level of revenues when translated into U.S. dollars or the depreciation of the Euro compared to the U.S. dollar could decrease our level of revenues when reported in U.S. dollars. Over time, and depending on market conditions, industry prices could align to the equivalent amount in U.S. dollars except that there is a lag between the changes in currency rate and the adjustment in the price paid in local currency which is proportional to the amplitude of the currency swing, and such adjustment could be only partial and/or delayed, depending on market demand. Furthermore, certain significant costs incurred by us, such as manufacturing costs, SG&amp;A expenses and R&amp;D expenses, are largely incurred in the currency of the jurisdictions in which our operations are located. Given that most of our operations are located in the Eurozone and other non-U.S. dollar currency areas, our costs tend to increase when translated into U.S. dollars when the U.S. dollar weakens, or to decrease when the U.S. dollar strengthens against the Euro or other foreign currencies.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strategy to reduce the risks associated with exchange rate fluctuations is to balance as much as possible the proportion of sales to our customers denominated in U.S. dollars with the amount of materials, purchases and services from our suppliers denominated in U.S. dollars, thereby reducing the potential exchange rate impact of certain variable costs relative to revenues. Moreover, in order to further reduce the exposure to U.S. dollar exchange fluctuations, we hedge certain line items on our consolidated statements of income, in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particular with respect to a portion of cost of sales, most of our R&amp;D expenses and certain SG&amp;A expenses, located in the Eurozone, which we designate as cash flow hedge transactions. We use two different types of hedging instruments: forward contracts and currency options (including collars).</w:t>
      </w:r>
    </w:p>
    <w:p>
      <w:pPr>
        <w:pStyle w:val="TextBody"/>
        <w:bidi w:val="0"/>
        <w:spacing w:lineRule="auto" w:line="268" w:before="0" w:after="240"/>
        <w:jc w:val="both"/>
        <w:rPr/>
      </w:pPr>
      <w:r>
        <w:rPr>
          <w:rFonts w:ascii="Times New Roman;serif" w:hAnsi="Times New Roman;serif"/>
          <w:b w:val="false"/>
          <w:color w:val="000000"/>
          <w:sz w:val="20"/>
        </w:rPr>
        <w:t>Our Unaudited Interim Consolidated Statements of Income for the six months ended June 27, 2026 include income and expense items translated at the average U.S. dollar exchange rate for the period, plus the impact of the hedging contracts settled during the period. Our effective average exchange rate for the second quarter of 2026 was</w:t>
      </w:r>
      <w:r>
        <w:rPr>
          <w:color w:val="000000"/>
          <w:shd w:fill="FFFFFF" w:val="clear"/>
        </w:rPr>
        <w:t xml:space="preserve"> </w:t>
      </w:r>
      <w:r>
        <w:rPr>
          <w:rFonts w:ascii="Times New Roman;serif" w:hAnsi="Times New Roman;serif"/>
          <w:b w:val="false"/>
          <w:color w:val="000000"/>
          <w:sz w:val="20"/>
        </w:rPr>
        <w:t>$1.16 for €1.00, compared to $1.16 in the first quarter of 2026 and $1.09 in the 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2025. These effective exchange rates reflect the actual exchange rates combined with the effect of cash flow hedge transactions impacting earnings in the period.</w:t>
      </w:r>
    </w:p>
    <w:p>
      <w:pPr>
        <w:pStyle w:val="TextBody"/>
        <w:bidi w:val="0"/>
        <w:spacing w:lineRule="auto" w:line="268" w:before="0" w:after="240"/>
        <w:jc w:val="both"/>
        <w:rPr/>
      </w:pPr>
      <w:r>
        <w:rPr>
          <w:rFonts w:ascii="Times New Roman;serif" w:hAnsi="Times New Roman;serif"/>
          <w:b w:val="false"/>
          <w:color w:val="000000"/>
          <w:sz w:val="20"/>
        </w:rPr>
        <w:t xml:space="preserve">The time horizon of our cash flow hedging for manufacturing costs and operating expenses may run up to 24 months, for a limited percentage of our exposure to the Euro, depending on currency market conditions. As of June 27, 2026, the outstanding hedged amounts were </w:t>
      </w:r>
      <w:r>
        <w:rPr>
          <w:color w:val="000000"/>
          <w:shd w:fill="FFFFFF" w:val="clear"/>
        </w:rPr>
        <w:t>€</w:t>
      </w:r>
      <w:r>
        <w:rPr>
          <w:rFonts w:ascii="Times New Roman;serif" w:hAnsi="Times New Roman;serif"/>
          <w:b w:val="false"/>
          <w:color w:val="000000"/>
          <w:sz w:val="20"/>
        </w:rPr>
        <w:t>1,328 million to cover manufacturing costs and €745 million to cover operating expenses, at an average exchange rate of approxim</w:t>
      </w:r>
      <w:r>
        <w:rPr>
          <w:rFonts w:ascii="Times New Roman;serif" w:hAnsi="Times New Roman;serif"/>
          <w:b w:val="false"/>
          <w:color w:val="000000"/>
          <w:sz w:val="20"/>
          <w:shd w:fill="FFFFFF" w:val="clear"/>
        </w:rPr>
        <w:t>ate</w:t>
      </w:r>
      <w:r>
        <w:rPr>
          <w:rFonts w:ascii="Times New Roman;serif" w:hAnsi="Times New Roman;serif"/>
          <w:b w:val="false"/>
          <w:color w:val="000000"/>
          <w:sz w:val="20"/>
        </w:rPr>
        <w:t xml:space="preserve">ly $1.18 </w:t>
      </w:r>
      <w:r>
        <w:rPr>
          <w:rFonts w:ascii="Times New Roman;serif" w:hAnsi="Times New Roman;serif"/>
          <w:b w:val="false"/>
          <w:color w:val="000000"/>
          <w:sz w:val="20"/>
          <w:shd w:fill="FFFFFF" w:val="clear"/>
        </w:rPr>
        <w:t>for €1.00</w:t>
      </w:r>
      <w:r>
        <w:rPr>
          <w:color w:val="000000"/>
        </w:rPr>
        <w:t xml:space="preserve"> </w:t>
      </w:r>
      <w:r>
        <w:rPr>
          <w:rFonts w:ascii="Times New Roman;serif" w:hAnsi="Times New Roman;serif"/>
          <w:b w:val="false"/>
          <w:color w:val="000000"/>
          <w:sz w:val="20"/>
        </w:rPr>
        <w:t>(considering the collars at upper strike), maturin</w:t>
      </w:r>
      <w:r>
        <w:rPr>
          <w:rFonts w:ascii="Times New Roman;serif" w:hAnsi="Times New Roman;serif"/>
          <w:b w:val="false"/>
          <w:color w:val="000000"/>
          <w:sz w:val="20"/>
          <w:shd w:fill="FFFFFF" w:val="clear"/>
        </w:rPr>
        <w:t xml:space="preserve">g from July 1, 2026 to June 2, 2027. </w:t>
      </w:r>
      <w:r>
        <w:rPr>
          <w:rFonts w:ascii="Times New Roman;serif" w:hAnsi="Times New Roman;serif"/>
          <w:b w:val="false"/>
          <w:color w:val="000000"/>
          <w:sz w:val="20"/>
        </w:rPr>
        <w:t xml:space="preserve">As of June 27, 2026, measured in respect to the exchange rate at period closing of about $1.14 to </w:t>
      </w:r>
      <w:r>
        <w:rPr>
          <w:color w:val="000000"/>
          <w:shd w:fill="FFFFFF" w:val="clear"/>
        </w:rPr>
        <w:t>€</w:t>
      </w:r>
      <w:r>
        <w:rPr>
          <w:rFonts w:ascii="Times New Roman;serif" w:hAnsi="Times New Roman;serif"/>
          <w:b w:val="false"/>
          <w:color w:val="000000"/>
          <w:sz w:val="20"/>
          <w:shd w:fill="FFFFFF" w:val="clear"/>
        </w:rPr>
        <w:t>1.00,</w:t>
      </w:r>
      <w:r>
        <w:rPr>
          <w:color w:val="000000"/>
        </w:rPr>
        <w:t xml:space="preserve"> </w:t>
      </w:r>
      <w:r>
        <w:rPr>
          <w:rFonts w:ascii="Times New Roman;serif" w:hAnsi="Times New Roman;serif"/>
          <w:b w:val="false"/>
          <w:color w:val="000000"/>
          <w:sz w:val="20"/>
        </w:rPr>
        <w:t>these outstanding hedging contracts and certain settled contracts covering manufacturing expenses capitalized in inventory resulted in a deferred unrealized loss of approximately $17 million before tax, recorded in “Accumulated other comprehensive income (loss)” in the Consolidated Statement of Equity, compared to a deferred unrealized gain of approxim</w:t>
      </w:r>
      <w:r>
        <w:rPr>
          <w:rFonts w:ascii="Times New Roman;serif" w:hAnsi="Times New Roman;serif"/>
          <w:b w:val="false"/>
          <w:color w:val="000000"/>
          <w:sz w:val="20"/>
          <w:shd w:fill="FFFFFF" w:val="clear"/>
        </w:rPr>
        <w:t xml:space="preserve">ately </w:t>
      </w:r>
      <w:r>
        <w:rPr>
          <w:rFonts w:ascii="Times New Roman;serif" w:hAnsi="Times New Roman;serif"/>
          <w:b w:val="false"/>
          <w:color w:val="000000"/>
          <w:sz w:val="20"/>
        </w:rPr>
        <w:t>$80 m</w:t>
      </w:r>
      <w:r>
        <w:rPr>
          <w:rFonts w:ascii="Times New Roman;serif" w:hAnsi="Times New Roman;serif"/>
          <w:b w:val="false"/>
          <w:color w:val="000000"/>
          <w:sz w:val="20"/>
          <w:shd w:fill="FFFFFF" w:val="clear"/>
        </w:rPr>
        <w:t>illion b</w:t>
      </w:r>
      <w:r>
        <w:rPr>
          <w:rFonts w:ascii="Times New Roman;serif" w:hAnsi="Times New Roman;serif"/>
          <w:b w:val="false"/>
          <w:color w:val="000000"/>
          <w:sz w:val="20"/>
        </w:rPr>
        <w:t>efore tax as of December 31,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 hedging policy is not intended to cover our full exposure and is based on hedging a declining portion of our exposure in the next four quarters. In the second quarter of 2026, as a result of our cash flow hedging, we recycled to earnings a gain of $10 million, of which approximately $7 million impacted cost of sales, $2 million impacted R&amp;D and $1 million impacted SG&amp;A expenses, while in the comparable quarter of 2025, we recorded a gain of $17 million. </w:t>
      </w:r>
    </w:p>
    <w:p>
      <w:pPr>
        <w:pStyle w:val="TextBody"/>
        <w:bidi w:val="0"/>
        <w:spacing w:lineRule="auto" w:line="268" w:before="0" w:after="240"/>
        <w:jc w:val="both"/>
        <w:rPr/>
      </w:pPr>
      <w:r>
        <w:rPr>
          <w:rFonts w:ascii="Times New Roman;serif" w:hAnsi="Times New Roman;serif"/>
          <w:b w:val="false"/>
          <w:color w:val="000000"/>
          <w:sz w:val="20"/>
        </w:rPr>
        <w:t xml:space="preserve">In addition to our cash flow hedging, in order to mitigate potential exchange rate risks on our commercial transactions, we purchase and enter into foreign exchange forward contracts and currency options to cover foreign currency exposure in payables or receivables at our affiliates, which we do not designate for hedge accounting. We may in the future purchase or sell similar types of instruments. See “Item 11. Quantitative and Qualitative Disclosures About Market Risk” in our Form 20-F. Furthermore, we may not predict on a timely basis the amount of future transactions in the volatile industry environment. No assurance may be given that our hedging activities will sufficiently protect us against fluctuations in the value of the U.S. dollar. Consequently, our results of operations have been and may continue to be impacted by fluctuations in exchange rates. The net effect of our consolidated foreign exchange exposure in payables and receivables at our affiliates resulted in a net gain of $5 million recorded in “Other income and expenses, net” in our consolidated statement of income for the second quarter of 2026, compared to a net gain of </w:t>
      </w:r>
      <w:r>
        <w:rPr>
          <w:rFonts w:ascii="Times New Roman;serif" w:hAnsi="Times New Roman;serif"/>
          <w:b w:val="false"/>
          <w:color w:val="000000"/>
          <w:sz w:val="20"/>
          <w:shd w:fill="FFFFFF" w:val="clear"/>
        </w:rPr>
        <w:t xml:space="preserve">$10 </w:t>
      </w:r>
      <w:r>
        <w:rPr>
          <w:rFonts w:ascii="Times New Roman;serif" w:hAnsi="Times New Roman;serif"/>
          <w:b w:val="false"/>
          <w:color w:val="000000"/>
          <w:sz w:val="20"/>
        </w:rPr>
        <w:t>million in the second quarter of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of subsidiaries whose functional currency is different from the U.S. dollar reporting currency are, for consolidation purposes, translated into U.S. dollars at the period-end exchange rate. Income and expenses, as well as cash flows, are translated at the average exchange rate for the period. The balance sheet impact, as well as the income statement and cash flow impact, of these currency translations have been, and may be, significant from period to period since a large part of our assets and liabilities and activities are accounted for in Euros as they are located in jurisdictions where the Euro is the functional currency. Adjustments resulting from the currency translation are recorded directly in equity and are reported as “Accumulated other comprehensive income (loss)” in the consolidated statements of equity. As of June 27, 2026, our outstanding indebtedness was denominated mainly in U.S. dollars and in Euros.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 a more detailed discussion, see Item 3. “Key Information — Risks Related to Our Operations” in our Form 20-F, which may be updated from time to time in our public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Impact of Changes in Interest Rates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rates may fluctuate upon changes in financial market conditions and material changes can affect our earnings and financial condition, since these changes can impact the total interest income received on our cash and cash equivalents, short-term deposits and marketable securities, as well as the total interest expense paid on our financial debt.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interest income as reported in our Unaudited Interim Consolidated Statements of Income, includes the interest income received from our cash and cash equivalents, short-term deposits and marketable securities. Our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income is dependent upon fluctuations in interest rates, mainly in U.S. dollars and Euros, since we invest primarily on a short-term basis; any increase or decrease in the market interest rates would mean a proportional increase or decrease in our interest income.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interest expense as reported in our Unaudited Interim Consolidated Statements of Income, includes bank fees (including fees on committed credit lines or on the sale without recourse of receivables, if any). Consistent to the interest income, our interest expense is dependent upon fluctuations in interest rates, since our financial liabilities include European Investment Bank (“EIB”) and Cassa Depositi e Prestiti SpA (“CDP SpA”) Floating Rate Loans at Euribor plus variable spreads. See Note 25 Financial Debt to our Consolidated Financial Statements.</w:t>
      </w:r>
    </w:p>
    <w:p>
      <w:pPr>
        <w:pStyle w:val="TextBody"/>
        <w:bidi w:val="0"/>
        <w:spacing w:lineRule="auto" w:line="268" w:before="0" w:after="240"/>
        <w:jc w:val="both"/>
        <w:rPr/>
      </w:pPr>
      <w:r>
        <w:rPr>
          <w:rFonts w:ascii="Times New Roman;serif" w:hAnsi="Times New Roman;serif"/>
          <w:b w:val="false"/>
          <w:color w:val="000000"/>
          <w:sz w:val="20"/>
        </w:rPr>
        <w:t>As of June 27, 2026, our total financial resources, including cash and cash equivalents, short-term deposits and marketable securities generated an average annual interest rate of 3.67% while the average annual interest rate on our outstanding debt was 1.44%</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Impact of Changes in Equity Prices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we participated to the initial public offering of InnoScience (Suzhou) which became public on the main segment of Hong Kong Stock Exchange. We acquired a 1.4% equity stake for a total amount of $51 million. As of June 27, 2026, the carrying amount of this financial asset was $101 million. As a publicly traded equity instrument, the InnoScience investment is measured at fair value through earnings. </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Credo completed the acquisition of DustPhotonics, with the transaction settled through a combination of cash, Credo shares and contingent consideration. We held a 4.35% equity stake in DustPhotonics at the date of the sale. Upon acquisition of DustPhotonics by Credo, we received $31 million in cash, and 37,250 Credo shares valued at $4 million. As a publicly traded equity instrument, Credo shares are measured at fair value through earnings which generated an unrealized gain of $5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22 and Note 23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Treasury activities are regulated by our policies, which define procedures, objectives and controls. Our policies focus on the management of our financial risk in terms of exposure to currency rates and interest rates. Most treasury activities are centralized, with any local treasury activities subject to oversight from our head treasury office. The majority of our cash and cash equivalents are held in U.S. dollars and Euros and are placed with financial institutions rated at least as single A long-term rating from two of the major rating agencies, meaning at least A3 from Moody’s Investors Service (“Moody’s”) and A- from Standard &amp; Poor’s (“S&amp;P”) or Fitch Ratings (“Fitch”). Marginal amounts are held in other currencies. See “Item 11. Quantitative and Qualitative Disclosures About Market Risk” in our Form 20-F, which may be updated from time to time in our public filings.</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an adequate cash position and a low debt-to-equity ratio, to provide us with adequate financial flexibility. As in the past, our cash management policy is to finance our investment needs mainly with net cash generated from operating activities.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our cash and cash equivalents increased by $259 million. The components of the net cash variation for the first six months of 2026 and the comparative 2025 period are set forth below:</w:t>
      </w:r>
    </w:p>
    <w:tbl>
      <w:tblPr>
        <w:tblW w:w="6096" w:type="dxa"/>
        <w:jc w:val="left"/>
        <w:tblInd w:w="0" w:type="dxa"/>
        <w:tblLayout w:type="fixed"/>
        <w:tblCellMar>
          <w:top w:w="28" w:type="dxa"/>
          <w:left w:w="28" w:type="dxa"/>
          <w:bottom w:w="28" w:type="dxa"/>
          <w:right w:w="28" w:type="dxa"/>
        </w:tblCellMar>
      </w:tblPr>
      <w:tblGrid>
        <w:gridCol w:w="1302"/>
        <w:gridCol w:w="1147"/>
        <w:gridCol w:w="1151"/>
        <w:gridCol w:w="109"/>
        <w:gridCol w:w="109"/>
        <w:gridCol w:w="109"/>
        <w:gridCol w:w="211"/>
        <w:gridCol w:w="616"/>
        <w:gridCol w:w="109"/>
        <w:gridCol w:w="109"/>
        <w:gridCol w:w="109"/>
        <w:gridCol w:w="109"/>
        <w:gridCol w:w="211"/>
        <w:gridCol w:w="54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increase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pPr>
      <w:r>
        <w:rPr>
          <w:rFonts w:ascii="Times New Roman;serif" w:hAnsi="Times New Roman;serif"/>
          <w:b w:val="false"/>
          <w:i/>
          <w:color w:val="000000"/>
          <w:sz w:val="20"/>
        </w:rPr>
        <w:t>Net cash from operating activities.</w:t>
      </w:r>
      <w:r>
        <w:rPr>
          <w:color w:val="000000"/>
        </w:rPr>
        <w:t xml:space="preserve"> </w:t>
      </w:r>
      <w:r>
        <w:rPr>
          <w:rFonts w:ascii="Times New Roman;serif" w:hAnsi="Times New Roman;serif"/>
          <w:b w:val="false"/>
          <w:color w:val="000000"/>
          <w:sz w:val="20"/>
        </w:rPr>
        <w:t>Net cash from operating activities is the sum of (i) net income (loss) adjusted for non-cash items and (ii) changes in net working capital. The net cash from operating activities for the first six months of 2026 was $1,036 million, increasing compared to $928 million in the prior-year period. The increase was mainly due to higher profitability.</w:t>
      </w:r>
    </w:p>
    <w:p>
      <w:pPr>
        <w:pStyle w:val="TextBody"/>
        <w:bidi w:val="0"/>
        <w:spacing w:lineRule="auto" w:line="268" w:before="0" w:after="240"/>
        <w:jc w:val="both"/>
        <w:rPr/>
      </w:pPr>
      <w:r>
        <w:rPr>
          <w:rFonts w:ascii="Times New Roman;serif" w:hAnsi="Times New Roman;serif"/>
          <w:b w:val="false"/>
          <w:i/>
          <w:color w:val="000000"/>
          <w:sz w:val="20"/>
        </w:rPr>
        <w:t>Net cash used in investing activities.</w:t>
      </w:r>
      <w:r>
        <w:rPr>
          <w:color w:val="000000"/>
        </w:rPr>
        <w:t xml:space="preserve"> </w:t>
      </w:r>
      <w:r>
        <w:rPr>
          <w:rFonts w:ascii="Times New Roman;serif" w:hAnsi="Times New Roman;serif"/>
          <w:b w:val="false"/>
          <w:color w:val="000000"/>
          <w:sz w:val="20"/>
        </w:rPr>
        <w:t>Investing activities used $2,560 million in the first six months of 2026, increasing compared to $1,128 million used in the prior-year period, mainly due to the $895 million cash outflows for the acquisition of the MEMS sensor business and higher net investments in short-term deposits and payments for purchase of marketable securities, partially offset by lower net capex paid.</w:t>
      </w:r>
    </w:p>
    <w:p>
      <w:pPr>
        <w:pStyle w:val="TextBody"/>
        <w:bidi w:val="0"/>
        <w:spacing w:lineRule="auto" w:line="268" w:before="0" w:after="240"/>
        <w:jc w:val="both"/>
        <w:rPr/>
      </w:pPr>
      <w:r>
        <w:rPr>
          <w:rFonts w:ascii="Times New Roman;serif" w:hAnsi="Times New Roman;serif"/>
          <w:b w:val="false"/>
          <w:i/>
          <w:color w:val="000000"/>
          <w:sz w:val="20"/>
        </w:rPr>
        <w:t>Net cash from (used in) financing activities.</w:t>
      </w:r>
      <w:r>
        <w:rPr>
          <w:color w:val="000000"/>
        </w:rPr>
        <w:t xml:space="preserve"> </w:t>
      </w:r>
      <w:r>
        <w:rPr>
          <w:rFonts w:ascii="Times New Roman;serif" w:hAnsi="Times New Roman;serif"/>
          <w:b w:val="false"/>
          <w:color w:val="000000"/>
          <w:sz w:val="20"/>
        </w:rPr>
        <w:t>Net cash from financing activities was $1,790 million for the first six months of 2026, compared to net cash used in financing activities of $473 million in the first six months of 2025, and consisting mainly of $1,490 million net proceeds from the issuance of convertible bonds, $590 million proceeds from long-term debt, $146 million of dividends paid to stockholders and $132 million repayment of financial debt.</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Net Capex and Free Cash Flow (non-U.S. GAAP measures)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present Net Capex as a non-U.S. GAAP measure, to take into consideration the effect of advances from capital grants received on prior periods allocated to property, plant and equipment in the reporting period. Net Capex is reported as part of our Free Cash Flow (non-U.S. GAAP measure).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Capex, a non-U.S. GAAP measure, is defined as (i) Payment for purchase of tangible assets, as reported plus (ii) Proceeds from sale of tangible assets, as reported plus (iii) Proceeds from capital grants and other contributions, as reported plus (iv) Advances from capital grants allocated to property, plant and equipment in the reporting period.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Net Capex provides useful information for investors and management because annual capital expenditures budget includes the effect of capital grants. Our definition of Net Capex may differ from definitions used by other companies.</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2"/>
        <w:gridCol w:w="1689"/>
        <w:gridCol w:w="1695"/>
        <w:gridCol w:w="211"/>
        <w:gridCol w:w="533"/>
        <w:gridCol w:w="109"/>
        <w:gridCol w:w="109"/>
        <w:gridCol w:w="109"/>
        <w:gridCol w:w="109"/>
        <w:gridCol w:w="211"/>
        <w:gridCol w:w="533"/>
        <w:gridCol w:w="109"/>
        <w:gridCol w:w="109"/>
        <w:gridCol w:w="109"/>
        <w:gridCol w:w="109"/>
        <w:gridCol w:w="109"/>
        <w:gridCol w:w="211"/>
        <w:gridCol w:w="683"/>
        <w:gridCol w:w="109"/>
        <w:gridCol w:w="109"/>
        <w:gridCol w:w="109"/>
        <w:gridCol w:w="109"/>
        <w:gridCol w:w="211"/>
        <w:gridCol w:w="683"/>
        <w:gridCol w:w="156"/>
      </w:tblGrid>
      <w:tr>
        <w:trPr/>
        <w:tc>
          <w:tcPr>
            <w:tcW w:w="197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39"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50" w:type="dxa"/>
            <w:gridSpan w:val="3"/>
            <w:tcBorders/>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50" w:type="dxa"/>
            <w:gridSpan w:val="3"/>
            <w:tcBorders/>
          </w:tcPr>
          <w:p>
            <w:pPr>
              <w:pStyle w:val="TableContents"/>
              <w:bidi w:val="0"/>
              <w:spacing w:before="0" w:after="283"/>
              <w:jc w:val="left"/>
              <w:rPr>
                <w:sz w:val="4"/>
                <w:szCs w:val="4"/>
              </w:rPr>
            </w:pPr>
            <w:r>
              <w:rPr>
                <w:sz w:val="4"/>
                <w:szCs w:val="4"/>
              </w:rPr>
            </w:r>
          </w:p>
        </w:tc>
      </w:tr>
      <w:tr>
        <w:trPr/>
        <w:tc>
          <w:tcPr>
            <w:tcW w:w="5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for purchase of tangible assets, as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tangible assets, as reported</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capital grants and other contributions, as reported</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Advances from capital grants allocated to property, plant and equipment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Capex</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jc w:val="both"/>
        <w:rPr/>
      </w:pPr>
      <w:r>
        <w:rPr>
          <w:rFonts w:ascii="Times New Roman;serif" w:hAnsi="Times New Roman;serif"/>
          <w:b w:val="false"/>
          <w:color w:val="000000"/>
          <w:sz w:val="20"/>
        </w:rPr>
        <w:t>We also present Free Cash Flow, which is a non-U.S. GAAP measure, defined as (i) net cash from operating activities plus (ii) net Capex plus (iii) payment for purchase (and proceeds from sale) of intangible and financial assets and (iv) net cash paid for business acquisitions, if any.</w:t>
      </w:r>
      <w:r>
        <w:rPr>
          <w:color w:val="000000"/>
          <w:shd w:fill="FFFFFF" w:val="clear"/>
        </w:rPr>
        <w:t xml:space="preserve"> </w:t>
      </w:r>
    </w:p>
    <w:p>
      <w:pPr>
        <w:pStyle w:val="TextBody"/>
        <w:bidi w:val="0"/>
        <w:spacing w:lineRule="auto" w:line="26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Free Cash Flow provides useful information for investors and management because it measures our capacity to generate cash from our operating and investing activities to sustain our operations. </w:t>
      </w:r>
    </w:p>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Free Cash Flow reconciles with the total cash flow and the net cash increase (decrease) by including the payment for purchases of (and proceeds from matured) marketable securities and net investment in (and proceeds from) short-term deposits, the net cash from (used in) financing activities and the effect of changes in exchange rates while excluding the advances from capital grants received in prior periods allocated to property, plant and equipment in the reporting period. Our definition of Free Cash Flow may differ from definitions used by other companies.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Free Cash Flow is determined from our unaudited interim consolidated statements of cash flows as follows:</w:t>
      </w:r>
    </w:p>
    <w:tbl>
      <w:tblPr>
        <w:tblW w:w="10205" w:type="dxa"/>
        <w:jc w:val="left"/>
        <w:tblInd w:w="0" w:type="dxa"/>
        <w:tblLayout w:type="fixed"/>
        <w:tblCellMar>
          <w:top w:w="28" w:type="dxa"/>
          <w:left w:w="28" w:type="dxa"/>
          <w:bottom w:w="28" w:type="dxa"/>
          <w:right w:w="28" w:type="dxa"/>
        </w:tblCellMar>
      </w:tblPr>
      <w:tblGrid>
        <w:gridCol w:w="1974"/>
        <w:gridCol w:w="1733"/>
        <w:gridCol w:w="1743"/>
        <w:gridCol w:w="211"/>
        <w:gridCol w:w="481"/>
        <w:gridCol w:w="109"/>
        <w:gridCol w:w="109"/>
        <w:gridCol w:w="109"/>
        <w:gridCol w:w="109"/>
        <w:gridCol w:w="211"/>
        <w:gridCol w:w="539"/>
        <w:gridCol w:w="109"/>
        <w:gridCol w:w="109"/>
        <w:gridCol w:w="109"/>
        <w:gridCol w:w="109"/>
        <w:gridCol w:w="211"/>
        <w:gridCol w:w="631"/>
        <w:gridCol w:w="109"/>
        <w:gridCol w:w="109"/>
        <w:gridCol w:w="109"/>
        <w:gridCol w:w="109"/>
        <w:gridCol w:w="270"/>
        <w:gridCol w:w="693"/>
        <w:gridCol w:w="200"/>
      </w:tblGrid>
      <w:tr>
        <w:trPr/>
        <w:tc>
          <w:tcPr>
            <w:tcW w:w="197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928</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Capex (non-U.S. GAAP measure)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purchase of intangible assets, net of proceeds from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(payment for) financial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business acquisitions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Free Cash Flow (non-U.S. GAAP measure)</w:t>
            </w:r>
            <w:r>
              <w:rPr>
                <w:rFonts w:ascii="Times New Roman;serif" w:hAnsi="Times New Roman;serif"/>
                <w:b/>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Free Cash Flow was negative at $648 million in the first six months of 2026, after the cash-out of $895 million related to the acquisition of MEMS sensor business, compared to negative $122 million in the prior-year period.</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Net Financial Position and Adjusted Net Financial Position (non-U.S. GAAP measures)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Net Financial Position represents the difference between our total liquidity and our total financial debt. Our total liquidity includes cash and cash equivalents, short-term deposits and marketable securities, and our total financial debt includes short-term debt and long-term debt, as reported in our consolidated balance sheets. Adjusted Net Financial Position represents net financial position less advances received from capital grants, to present the effect on total liquidity of advances received on capital grants for which capital expenditures have not been incurred yet. Net Financial Position and Adjusted Net Financial Position are not U.S. GAAP measures, but we believe they provide useful information for investors and management because they give evidence of our global position either in terms of net indebtedness or net cash by measuring our capital resources based on cash and cash equivalents, restricted cash, if any, short-term deposits and marketable securities and the total level of our financial debt. Our definition of Net Financial Position may differ from definitions used by other companies and therefore comparability may be limited. Our Net Financial Position and Adjusted Net Financial Position for each period have been determined from our consolidated balance sheets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9063" w:type="dxa"/>
        <w:jc w:val="left"/>
        <w:tblInd w:w="0" w:type="dxa"/>
        <w:tblLayout w:type="fixed"/>
        <w:tblCellMar>
          <w:top w:w="28" w:type="dxa"/>
          <w:left w:w="28" w:type="dxa"/>
          <w:bottom w:w="28" w:type="dxa"/>
          <w:right w:w="28" w:type="dxa"/>
        </w:tblCellMar>
      </w:tblPr>
      <w:tblGrid>
        <w:gridCol w:w="1809"/>
        <w:gridCol w:w="1588"/>
        <w:gridCol w:w="1598"/>
        <w:gridCol w:w="109"/>
        <w:gridCol w:w="109"/>
        <w:gridCol w:w="109"/>
        <w:gridCol w:w="211"/>
        <w:gridCol w:w="631"/>
        <w:gridCol w:w="109"/>
        <w:gridCol w:w="109"/>
        <w:gridCol w:w="109"/>
        <w:gridCol w:w="109"/>
        <w:gridCol w:w="253"/>
        <w:gridCol w:w="757"/>
        <w:gridCol w:w="130"/>
        <w:gridCol w:w="109"/>
        <w:gridCol w:w="109"/>
        <w:gridCol w:w="109"/>
        <w:gridCol w:w="211"/>
        <w:gridCol w:w="631"/>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Financial Position (non-U.S. 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2,789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capital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Financial Position (non-U.S. 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Net Financial Position as of June 27, 2026, was $2,007 million, decreasing compared to $2,789 million and $2,672 million as of December 31, 2025 and June 28, 2025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amounted to $3,096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Short-term deposits amounted to $1,800 million as of June 27, 2026 and consisted of available liquidity with maturity over three months and below one year.</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Marketable securities amounted to $1,136 million and consisted of U.S. Treasury Bonds classified as available-for-sale financial assets.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debt was $4,025 million as of June 27, 2026 and was composed of (i) $1,063 million of short-term debt and (ii) $2,962 million of long-term debt. The breakdown of our total financial debt included (i) $1,558 million in EIB loans, (ii) $132 million in CDP SpA loans, (iii) $750 million in our 2020 Senior Unsecured Convertible Bonds, (iv) $1,490 million in our dual-tranche Senior Unsecured Convertible Bonds issued in June 2026 ("the 2026 Senior Unsecured Convertible Bonds"), (v) $94 million in finance leases, and (vi) $1 million in loans from other funding programs.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EIB loans are comprised of three long-term amortizing credit facilities as part of R&amp;D funding programs. The first one, signed in August 2017, is a €500 million loan, in relation to R&amp;D and capital expenditures in the European Union, fully drawn in Euros, of which $171 million was outstanding as of June 27, 2026. The second one, signed in 2020, is a €500 million credit facility agreement with EIB to support R&amp;D and capital expenditure programs in Italy and France. The amount was fully drawn in Euros representing $303 million outstanding as of June 27, 2026. In 2022, we signed a third long-term amortizing credit facility with EIB of €600 million, out of which, €300 million was withdrawn in Euros and $300 million in U.S dollars, representing $514 million outstanding as of June 27, 2026. In 2026, we entered into a fourth credit facility with the EIB for €1,000 million to strengthen Europe’s semiconductor industry and support innovation. Of this amount, €500 million was drawn in Euros, representing an outstanding balance of $570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CDP SpA loans are comprised of two long-term credit facilities. The first one, signed in 2021, is a €150 million loan, fully drawn in Euros, of which $28 million were outstanding as of June 27, 2026. The second one, signed in 2022, is a €200 million loan, fully drawn in Euros, of which $104 million were outstanding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2020, we issued a $1.5 billion offering of senior unsecured convertible bonds convertible into new or existing ordinary shares of the Company. Proceeds from the issuance of the bonds, net of $10 million transaction costs, amounted to $1,567 million. The 2020 Senior Unsecured Convertible Bonds were issued in two $750 million principal amount tranches, Tranche A with a maturity of 5 years (47.5% conversion premium, negative 1.12% yield to maturity, 0% coupon) and Tranche B with a maturity of 7 years (52.5% conversion premium, negative 0.63% yield to maturity, 0% coupon). Tranche A bonds were fully settled in cash in 2025, after the bonds reaching the maturity date with conversion options being out-of-the-money. The conversion price was $43.62 on Tranche A and is $45.10 on Tranche B. The Tranche B Bonds are convertible by the bondholders if certain conditions are satisfied, on a net-share settlement basis, except if we elect a full-cash or a full-share conversion as an alternative settlement. Tranche B convertible debt amounted to $750 million as of June 27, 2026 and was reported as short-term debt, following our release of the early redemption notice in June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2026, which forced conversion from the bondholders. The full settlement of Tranche B is expected to occur on a net-share basis in the third quarter of 2026. See Note 25 to our Consolidated Financial Statements.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23, 2026, we issued a $1.5 billion principal amount of dual tranche senior unsecured convertible bonds (Tranche A and Tranche B for $750 million each tranche), with original maturity in 2031 and 2033, respectively. Tranche A bonds were issued at par as zero-coupon bonds while Tranche B bonds were issued at par and bear a 0.625% per annum nominal interest, payable semi-annually. The conversion price at issuance was $119.98 for Tranche A, equivalent to a 55.0% conversion premium, and $121.92 for Tranche B, equivalent to a 57.5% conversion premium. These conversion features correspond to an equivalent of 1,667 shares per each Tranche A bond with a $200,000 par value and an equivalent of 1,640 shares per each Tranche B bond with a $200,000 par value. The bonds are convertible by the bondholders or are callable by the issuer upon certain conditions, on a net-share settlement basis, except if the issuer elects a full-cash or full-share conversion as an alternative settlement. The outstanding balance of the bonds as of June 27, 2026, was reported at $1,490 million net of $10 million debt issuance costs and classified as long-term debt.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long-term debt contains standard conditions but does not impose minimum financial ratios. We had unutilized committed medium-term credit facilities with core relationship banks totaling $1,191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27, 2026, debt payments at redemption value by period were as follows:</w:t>
      </w:r>
    </w:p>
    <w:tbl>
      <w:tblPr>
        <w:tblW w:w="10205" w:type="dxa"/>
        <w:jc w:val="left"/>
        <w:tblInd w:w="0" w:type="dxa"/>
        <w:tblLayout w:type="fixed"/>
        <w:tblCellMar>
          <w:top w:w="28" w:type="dxa"/>
          <w:left w:w="28" w:type="dxa"/>
          <w:bottom w:w="28" w:type="dxa"/>
          <w:right w:w="28" w:type="dxa"/>
        </w:tblCellMar>
      </w:tblPr>
      <w:tblGrid>
        <w:gridCol w:w="717"/>
        <w:gridCol w:w="632"/>
        <w:gridCol w:w="634"/>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29"/>
        <w:gridCol w:w="669"/>
        <w:gridCol w:w="169"/>
      </w:tblGrid>
      <w:tr>
        <w:trPr/>
        <w:tc>
          <w:tcPr>
            <w:tcW w:w="7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above table, Tranche B of the 2020 Senior Unsecured Convertible Bonds and both Tranche A and Tranche B of the newly issued 2026 Senior Unsecured Convertible Bonds are presented at their principal amounts.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ratings with the two major rating agencies that report on us on a solicited basis, are as follows: S&amp;P: “BBB+” with negative outlook; Moody’s: “Baa1” with stable outlook.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Financial Outlook: Capital Investment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policy is to modulate our capital spending according to the evolution of the semiconductor market. For 2026, we now plan to invest an amount of Net Capex (non-U.S. GAAP) in the high end of the $2.0 to $2.2 billion range communicated in January, reflecting accelerated investments in selected growth drivers, including Cloud Optical Interconnect.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Net Capex (non-U.S. GAAP) will support capacity additions for selected growth drivers and our manufacturing reshaping plan.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particular:</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In Catania, Italy, the new high-volume fully vertically integrated 200mm silicon carbide manufacturing facility for power devices and modules, as well as test and packaging;</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in Chongqing, China, the new 200mm silicon carbide device manufacturing joint venture with Sanan Optoelectronics;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in Crolles, France, 300mm wafer fab evolution for digital and Cloud Optical Interconnect;</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 xml:space="preserve">in Agrate, Italy, the ramp-up of the 300mm wafer fab to support analog mixed signal and smart power HCMOS; </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Capital investments in back-end facilities, which in 2026 will be largely focused on: (i) capacity growth on certain package families, (ii) the next generation of Panel-Level Packaging (PLP) technology through a pilot line in Tours, France, and (iii) selected investments for the modernization and expansion assembly and test operations.</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remaining part of our Net Capex (non-U.S. GAAP) covers the overall maintenance and efficiency improvements of our manufacturing operations and infrastructure, R&amp;D activities, laboratories as well as the execution of our carbon neutrality programs.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will continue to invest to support revenues growth and new products introduction, taking into consideration factors such as trends in the semiconductor industry, capacity utilization and our goal to become carbon neutral in all direct and indirect emissions (scopes 1 and 2), product transportation, business travel, and employee commuting emissions (our scope 3 focus), and to achieve our 100% renewable electricity sourcing goal by the end of 2027. We expect to need significant financial resources in the coming years for capital expenditures and for our investments in manufacturing and R&amp;D. We plan to fund our capital requirements with cash provided by operating activities, available funds and support from third parties, and may have recourse to borrowings under available credit lines and, to the extent necessary or attractive based on market conditions prevailing at the time, the issuance of debt, convertible bonds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prior years to fund our capital expenditure plans for expanding/upgrading our production facilities, our working capital requirements, our R&amp;D and manufacturing costs.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that we have the financial resources needed to meet our currently projected business requirements for the next twelve months, including capital expenditures for our manufacturing activities, working capital requirements, approved dividend payments, share buy-backs as part of our current repurchase program and the repayment of our debt in line with maturity dates.</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 Commercial Commitments and Contingencies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commercial commitments and contingencies are mainly comprised of: long-term purchase commitments for material, equipment and software license, take-or-pay type of agreements to outsource wafers from foundries, and firm contractual commitments related to power purchase and minimum energy efficiency, as part of our actions to become carbon neutral by end of 2027 in all direct and indirect emissions on scope 1 and 2 and focusing on product transportation, business travel and employee commuting emissions for scope 3, commercial agreements with customers, long term debt obligations, pension obligations and other long-term liabilities.</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had no material off-balance sheet arrangements as of June 27, 2026. </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Impact of Recently Issued U.S. Accounting Standards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5 Recent Accounting Pronouncements to our Consolidated Financial Statements.</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Backlog and Customers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our booking plus net frame orders was higher compared to the first quarter of 2026. We entered the third quarter of 2026 with a backlog higher than the level we had when entering in the second quarter of 2026. Backlog (including frame orders) is subject to possible cancellation, push back and lower ratio of frame orders being translated into firm orders and, thus, it is not necessarily indicative of the amount of billings or growth to be registered in subsequent periods.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There is no guarantee that any customer will continue to generate revenues for us at the same levels as in prior periods. If we were to lose one or more of our key customers, or if they were to significantly reduce their bookings, not confirm planned delivery dates on frame orders in a significant manner or fail to meet their payment obligations, our operating results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 xml:space="preserve">Disclosure Controls and Procedures </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Evaluation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CEO and CFO, performed an evaluation of the effectiveness of the design and operation of our disclosure controls and procedures as defined in Rules 13a-15(e) and 15d-15(e) under the Securities Exchange Act of 1934 (“Disclosure Controls”) as of the end of the period covered by this report. Disclosure Controls are controls and procedures designed to reasonably assure that information required to be disclosed in our reports filed under the Securities Exchange Act of 1934, as amended (the “Exchange Act”), such as this periodic report, is recorded, processed, summarized and reported within the time periods specified in the SEC’s rules and forms. Disclosure Controls are also designed to reasonably assure that such information is accumulated and communicated to our management, including the CEO and CFO, as appropriate to allow timely decisions regarding required disclosure. Our quarterly evaluation of Disclosure Controls includes an evaluation of certain components of our internal control over financial reporting, and internal control over financial reporting is also separately evaluated on an annual basis.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evaluation of our Disclosure Controls included a review of the controls’ objectives and design, our implementation of the controls and their effect on the information generated for use in this periodic report. In the course of the controls evaluation, we reviewed identified data errors, errors in process flow or delay in communication, control problems and sought to confirm that appropriate corrective actions, including process improvements, were being undertaken. This type of evaluation is performed at least on a quarterly basis so that the conclusions of management, including the CEO and CFO, concerning the effectiveness of the Disclosure Controls can be reported in our periodic reports on Form 6-K and Form 20-F. The components of our Disclosure Controls are also evaluated on an ongoing basis by our Internal Audit Department, which reports directly to our Audit Committee. The overall goals of these various evaluation activities are to monitor our Disclosure Controls, and to modify them as necessary. Our intent is to maintain the Disclosure Controls as dynamic systems that change as conditions warrant.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Based upon the controls evaluation, our CEO and CFO have concluded that, as of the end of the period covered by this periodic report, our Disclosure Controls were effective at the reasonable assurance level.</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that occurred during the period covered by this report that have materially affected, or are reasonably likely to materially affect, our internal control over financial reporting.</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Limitations on Effectiveness of Controls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 system of internal control over financial reporting, including one determined to be effective, may prevent or detect all misstatements. It can provide only reasonable assurance regarding financial statement preparation and presentation. Also, projections of the results of any evaluation of the effectiveness of internal control over financial reporting into future periods are subject to inherent risk that the relevant controls may become inadequate due to changes in circumstances or that the degree of compliance with the underlying policies or procedures may deteriorate.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Other Reviews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sent this report to our Audit Committee, which had an opportunity to raise questions with our management and independent auditors before we submitted it to the SEC.</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Some of the statements contained in this Form 6-K that are not historical facts, particularly in “Business Overview” and in “Liquidity and Capital Resources—Financial Outlook: Capital Investment”,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 actual results, performance or events to differ materially from those anticipated by such statements due to, among other factors: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changes in global trade policies, including the continuation, adoption and expansion of tariffs and trade barriers and sanctions, that are affecting and could further affect the macro-economic environment and are adversely impacting and could further adversely impact the demand for our products;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uncertain macro-economic and industry trends (such as inflation and fluctuations in supply chains), which are impacting and may further impact production capacity and end-market demand for our products;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customer demand that differs from projections, which may require us to undertake transformation measures that may not be successful in realizing the expected benefits in full or at all;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the ability to design, manufacture and sell innovative products in a rapidly changing technological environment;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unanticipated events or circumstances, which may impact our ability to execute our plans and/or meet the objectives of our research and development ("R&amp;D") and manufacturing programs, which benefit from public funding;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financial difficulties with any of our major distributors or significant curtailment of purchases by key customers;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the loading, product mix, and manufacturing performance of our production facilities and/or our required volume to fulfill capacity reserved with suppliers or third-party manufacturing providers;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availability and costs of equipment, raw materials, utilities, third-party manufacturing services and technology, or other supplies required by our operations (including increasing costs resulting from inflation);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theft, loss, or misuse of personal data about our employees, customers, or other third parties, and breaches of data privacy legislation;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the impact of intellectual property (“IP”) claims by our competitors or other third parties, and our ability to obtain required licenses on reasonable terms and conditions;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variations in the foreign exchange markets and, more particularly, the U.S. dollar exchange rate as compared to the Euro and the other major currencies we use for our operations;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the outcome of ongoing litigation as well as the impact of any new litigation to which we may become a defendant;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product liability or warranty claims, claims based on epidemic or delivery failure, or other claims relating to our products, or recalls by our customers for products containing our parts;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natural events such as severe weather, earthquakes, tsunamis, volcano eruptions or other acts of nature, the effects of climate change, health risks and epidemics or pandemics in locations where we, our customers or our suppliers operate; </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increased regulation and initiatives in our industry, including those concerning climate 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epidemics or pandemics, which may negatively impact the global economy in a significant manner for an extended period of time, and could also materially adversely affect our business and operating results;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industry changes resulting from vertical and horizontal consolidation among our suppliers, competitors, and customers;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 xml:space="preserve">the ability to successfully ramp up new programs that could be impacted by factors beyond our control, including the availability of critical third-party components and performance of subcontractors in line with our expectations; and </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Some of these risk factors are set forth and are discussed in more detail in “Item 3. Key Information - Risk Factors” included in our Annual Report on Form 20-F for the year ended December 31, 2025 as filed with the Securities and Exchange Commission (“SEC”) on February 26, 2026. Should one or more of these risks or uncertainties materialize, or should underlying assumptions prove incorrect, actual results may vary materially from those described in our Form 20-F as anticipated, believed or expected. We do not intend, and do not assume any obligation, to update any industry information or forward-looking statements set forth in this Form 6-K to reflect subsequent events or circumstances.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Unfavorable changes in the above or other factors listed under “Item 3. Key Information - Risk Factors” from time to time in our SEC filings, could have a material adverse effect on our business and/ or financial condition.</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UNAUDITED INTERIM CONSOLIDATED FINANCIAL STATEMENTS</w:t>
      </w:r>
    </w:p>
    <w:tbl>
      <w:tblPr>
        <w:tblW w:w="10205" w:type="dxa"/>
        <w:jc w:val="left"/>
        <w:tblInd w:w="0" w:type="dxa"/>
        <w:tblLayout w:type="fixed"/>
        <w:tblCellMar>
          <w:top w:w="28" w:type="dxa"/>
          <w:left w:w="28" w:type="dxa"/>
          <w:bottom w:w="28" w:type="dxa"/>
          <w:right w:w="28" w:type="dxa"/>
        </w:tblCellMar>
      </w:tblPr>
      <w:tblGrid>
        <w:gridCol w:w="3475"/>
        <w:gridCol w:w="3034"/>
        <w:gridCol w:w="3049"/>
        <w:gridCol w:w="189"/>
        <w:gridCol w:w="189"/>
        <w:gridCol w:w="269"/>
      </w:tblGrid>
      <w:tr>
        <w:trPr/>
        <w:tc>
          <w:tcPr>
            <w:tcW w:w="3475"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Pages</w:t>
            </w:r>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f7f2029a5f48189903d18d6ae9ee14_145">
              <w:r>
                <w:rPr>
                  <w:rStyle w:val="InternetLink"/>
                  <w:rFonts w:ascii="Times New Roman;serif" w:hAnsi="Times New Roman;serif"/>
                  <w:b w:val="false"/>
                  <w:color w:val="000080"/>
                  <w:sz w:val="20"/>
                  <w:u w:val="single"/>
                </w:rPr>
                <w:t xml:space="preserve">Consolidated Statements of Income for the Three </w:t>
              </w:r>
            </w:hyperlink>
            <w:hyperlink w:anchor="i28f7f2029a5f48189903d18d6ae9ee14_145">
              <w:r>
                <w:rPr>
                  <w:rStyle w:val="InternetLink"/>
                  <w:rFonts w:ascii="Times New Roman;serif" w:hAnsi="Times New Roman;serif"/>
                  <w:b w:val="false"/>
                  <w:color w:val="000080"/>
                  <w:sz w:val="20"/>
                  <w:u w:val="single"/>
                </w:rPr>
                <w:t xml:space="preserve">and Six </w:t>
              </w:r>
            </w:hyperlink>
            <w:hyperlink w:anchor="i28f7f2029a5f48189903d18d6ae9ee14_145">
              <w:r>
                <w:rPr>
                  <w:rStyle w:val="InternetLink"/>
                  <w:rFonts w:ascii="Times New Roman;serif" w:hAnsi="Times New Roman;serif"/>
                  <w:b w:val="false"/>
                  <w:color w:val="000080"/>
                  <w:sz w:val="20"/>
                  <w:u w:val="single"/>
                </w:rPr>
                <w:t xml:space="preserve">months ended </w:t>
              </w:r>
            </w:hyperlink>
            <w:hyperlink w:anchor="i28f7f2029a5f48189903d18d6ae9ee14_145">
              <w:r>
                <w:rPr>
                  <w:rStyle w:val="InternetLink"/>
                  <w:rFonts w:ascii="Times New Roman;serif" w:hAnsi="Times New Roman;serif"/>
                  <w:b w:val="false"/>
                  <w:color w:val="000080"/>
                  <w:sz w:val="20"/>
                  <w:u w:val="single"/>
                </w:rPr>
                <w:t>June 27</w:t>
              </w:r>
            </w:hyperlink>
            <w:hyperlink w:anchor="i28f7f2029a5f48189903d18d6ae9ee14_145">
              <w:r>
                <w:rPr>
                  <w:rStyle w:val="InternetLink"/>
                  <w:rFonts w:ascii="Times New Roman;serif" w:hAnsi="Times New Roman;serif"/>
                  <w:b w:val="false"/>
                  <w:color w:val="000080"/>
                  <w:sz w:val="20"/>
                  <w:u w:val="single"/>
                </w:rPr>
                <w:t xml:space="preserve">, 2026 and </w:t>
              </w:r>
            </w:hyperlink>
            <w:hyperlink w:anchor="i28f7f2029a5f48189903d18d6ae9ee14_145">
              <w:r>
                <w:rPr>
                  <w:rStyle w:val="InternetLink"/>
                  <w:rFonts w:ascii="Times New Roman;serif" w:hAnsi="Times New Roman;serif"/>
                  <w:b w:val="false"/>
                  <w:color w:val="000080"/>
                  <w:sz w:val="20"/>
                  <w:u w:val="single"/>
                </w:rPr>
                <w:t>J</w:t>
              </w:r>
            </w:hyperlink>
            <w:hyperlink w:anchor="i28f7f2029a5f48189903d18d6ae9ee14_145">
              <w:r>
                <w:rPr>
                  <w:rStyle w:val="InternetLink"/>
                  <w:rFonts w:ascii="Times New Roman;serif" w:hAnsi="Times New Roman;serif"/>
                  <w:b w:val="false"/>
                  <w:color w:val="000080"/>
                  <w:sz w:val="20"/>
                  <w:u w:val="single"/>
                </w:rPr>
                <w:t>une</w:t>
              </w:r>
            </w:hyperlink>
            <w:hyperlink w:anchor="i28f7f2029a5f48189903d18d6ae9ee14_145">
              <w:r>
                <w:rPr>
                  <w:rStyle w:val="InternetLink"/>
                  <w:rFonts w:ascii="Times New Roman;serif" w:hAnsi="Times New Roman;serif"/>
                  <w:b w:val="false"/>
                  <w:color w:val="000080"/>
                  <w:sz w:val="20"/>
                  <w:u w:val="single"/>
                </w:rPr>
                <w:t xml:space="preserve"> 2</w:t>
              </w:r>
            </w:hyperlink>
            <w:hyperlink w:anchor="i28f7f2029a5f48189903d18d6ae9ee14_145">
              <w:r>
                <w:rPr>
                  <w:rStyle w:val="InternetLink"/>
                  <w:rFonts w:ascii="Times New Roman;serif" w:hAnsi="Times New Roman;serif"/>
                  <w:b w:val="false"/>
                  <w:color w:val="000080"/>
                  <w:sz w:val="20"/>
                  <w:u w:val="single"/>
                </w:rPr>
                <w:t>8</w:t>
              </w:r>
            </w:hyperlink>
            <w:hyperlink w:anchor="i28f7f2029a5f48189903d18d6ae9ee14_145">
              <w:r>
                <w:rPr>
                  <w:rStyle w:val="InternetLink"/>
                  <w:rFonts w:ascii="Times New Roman;serif" w:hAnsi="Times New Roman;serif"/>
                  <w:b w:val="false"/>
                  <w:color w:val="000080"/>
                  <w:sz w:val="20"/>
                  <w:u w:val="single"/>
                </w:rPr>
                <w:t>, 2025 (unaudited)</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f7f2029a5f48189903d18d6ae9ee14_145">
              <w:r>
                <w:rPr>
                  <w:rStyle w:val="InternetLink"/>
                  <w:rFonts w:ascii="Times New Roman;serif" w:hAnsi="Times New Roman;serif"/>
                  <w:b w:val="false"/>
                  <w:color w:val="0000FF"/>
                  <w:sz w:val="20"/>
                  <w:u w:val="single"/>
                </w:rPr>
                <w:t>F-1</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f7f2029a5f48189903d18d6ae9ee14_151">
              <w:r>
                <w:rPr>
                  <w:rStyle w:val="InternetLink"/>
                  <w:rFonts w:ascii="Times New Roman;serif" w:hAnsi="Times New Roman;serif"/>
                  <w:b w:val="false"/>
                  <w:color w:val="000080"/>
                  <w:sz w:val="20"/>
                  <w:u w:val="single"/>
                </w:rPr>
                <w:t>Consolidated Statements of Comprehensive Income for the</w:t>
              </w:r>
            </w:hyperlink>
            <w:r>
              <w:rPr>
                <w:rFonts w:ascii="Times New Roman;serif" w:hAnsi="Times New Roman;serif"/>
                <w:b w:val="false"/>
                <w:color w:val="0000FF"/>
                <w:sz w:val="20"/>
                <w:u w:val="single"/>
              </w:rPr>
              <w:t xml:space="preserve"> </w:t>
            </w:r>
            <w:hyperlink w:anchor="i28f7f2029a5f48189903d18d6ae9ee14_145">
              <w:r>
                <w:rPr>
                  <w:rStyle w:val="InternetLink"/>
                  <w:rFonts w:ascii="Times New Roman;serif" w:hAnsi="Times New Roman;serif"/>
                  <w:b w:val="false"/>
                  <w:color w:val="000080"/>
                  <w:sz w:val="20"/>
                  <w:u w:val="single"/>
                </w:rPr>
                <w:t>Three</w:t>
              </w:r>
            </w:hyperlink>
            <w:hyperlink w:anchor="i28f7f2029a5f48189903d18d6ae9ee14_145">
              <w:r>
                <w:rPr>
                  <w:rStyle w:val="InternetLink"/>
                  <w:rFonts w:ascii="Times New Roman;serif" w:hAnsi="Times New Roman;serif"/>
                  <w:b w:val="false"/>
                  <w:color w:val="000080"/>
                  <w:sz w:val="20"/>
                  <w:u w:val="single"/>
                </w:rPr>
                <w:t xml:space="preserve"> and Six</w:t>
              </w:r>
            </w:hyperlink>
            <w:hyperlink w:anchor="i28f7f2029a5f48189903d18d6ae9ee14_145">
              <w:r>
                <w:rPr>
                  <w:rStyle w:val="InternetLink"/>
                  <w:rFonts w:ascii="Times New Roman;serif" w:hAnsi="Times New Roman;serif"/>
                  <w:b w:val="false"/>
                  <w:color w:val="000080"/>
                  <w:sz w:val="20"/>
                  <w:u w:val="single"/>
                </w:rPr>
                <w:t xml:space="preserve"> months ended </w:t>
              </w:r>
            </w:hyperlink>
            <w:hyperlink w:anchor="i28f7f2029a5f48189903d18d6ae9ee14_145">
              <w:r>
                <w:rPr>
                  <w:rStyle w:val="InternetLink"/>
                  <w:rFonts w:ascii="Times New Roman;serif" w:hAnsi="Times New Roman;serif"/>
                  <w:b w:val="false"/>
                  <w:color w:val="000080"/>
                  <w:sz w:val="20"/>
                  <w:u w:val="single"/>
                </w:rPr>
                <w:t>June 27</w:t>
              </w:r>
            </w:hyperlink>
            <w:hyperlink w:anchor="i28f7f2029a5f48189903d18d6ae9ee14_145">
              <w:r>
                <w:rPr>
                  <w:rStyle w:val="InternetLink"/>
                  <w:rFonts w:ascii="Times New Roman;serif" w:hAnsi="Times New Roman;serif"/>
                  <w:b w:val="false"/>
                  <w:color w:val="000080"/>
                  <w:sz w:val="20"/>
                  <w:u w:val="single"/>
                </w:rPr>
                <w:t xml:space="preserve">, 2026 and </w:t>
              </w:r>
            </w:hyperlink>
            <w:hyperlink w:anchor="i28f7f2029a5f48189903d18d6ae9ee14_145">
              <w:r>
                <w:rPr>
                  <w:rStyle w:val="InternetLink"/>
                  <w:rFonts w:ascii="Times New Roman;serif" w:hAnsi="Times New Roman;serif"/>
                  <w:b w:val="false"/>
                  <w:color w:val="000080"/>
                  <w:sz w:val="20"/>
                  <w:u w:val="single"/>
                </w:rPr>
                <w:t>June</w:t>
              </w:r>
            </w:hyperlink>
            <w:hyperlink w:anchor="i28f7f2029a5f48189903d18d6ae9ee14_145">
              <w:r>
                <w:rPr>
                  <w:rStyle w:val="InternetLink"/>
                  <w:rFonts w:ascii="Times New Roman;serif" w:hAnsi="Times New Roman;serif"/>
                  <w:b w:val="false"/>
                  <w:color w:val="000080"/>
                  <w:sz w:val="20"/>
                  <w:u w:val="single"/>
                </w:rPr>
                <w:t xml:space="preserve"> 2</w:t>
              </w:r>
            </w:hyperlink>
            <w:hyperlink w:anchor="i28f7f2029a5f48189903d18d6ae9ee14_145">
              <w:r>
                <w:rPr>
                  <w:rStyle w:val="InternetLink"/>
                  <w:rFonts w:ascii="Times New Roman;serif" w:hAnsi="Times New Roman;serif"/>
                  <w:b w:val="false"/>
                  <w:color w:val="000080"/>
                  <w:sz w:val="20"/>
                  <w:u w:val="single"/>
                </w:rPr>
                <w:t>8</w:t>
              </w:r>
            </w:hyperlink>
            <w:hyperlink w:anchor="i28f7f2029a5f48189903d18d6ae9ee14_145">
              <w:r>
                <w:rPr>
                  <w:rStyle w:val="InternetLink"/>
                  <w:rFonts w:ascii="Times New Roman;serif" w:hAnsi="Times New Roman;serif"/>
                  <w:b w:val="false"/>
                  <w:color w:val="000080"/>
                  <w:sz w:val="20"/>
                  <w:u w:val="single"/>
                </w:rPr>
                <w:t>, 2025 (unaudited)</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f7f2029a5f48189903d18d6ae9ee14_148">
              <w:r>
                <w:rPr>
                  <w:rStyle w:val="InternetLink"/>
                  <w:rFonts w:ascii="Times New Roman;serif" w:hAnsi="Times New Roman;serif"/>
                  <w:b w:val="false"/>
                  <w:color w:val="0000FF"/>
                  <w:sz w:val="20"/>
                  <w:u w:val="single"/>
                </w:rPr>
                <w:t>F-3</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f7f2029a5f48189903d18d6ae9ee14_154">
              <w:r>
                <w:rPr>
                  <w:rStyle w:val="InternetLink"/>
                  <w:rFonts w:ascii="Times New Roman;serif" w:hAnsi="Times New Roman;serif"/>
                  <w:b w:val="false"/>
                  <w:color w:val="000080"/>
                  <w:sz w:val="20"/>
                  <w:u w:val="single"/>
                </w:rPr>
                <w:t xml:space="preserve">Consolidated Balance Sheets as of </w:t>
              </w:r>
            </w:hyperlink>
            <w:hyperlink w:anchor="i28f7f2029a5f48189903d18d6ae9ee14_145">
              <w:r>
                <w:rPr>
                  <w:rStyle w:val="InternetLink"/>
                  <w:rFonts w:ascii="Times New Roman;serif" w:hAnsi="Times New Roman;serif"/>
                  <w:b w:val="false"/>
                  <w:color w:val="000080"/>
                  <w:sz w:val="20"/>
                  <w:u w:val="single"/>
                </w:rPr>
                <w:t>June 27</w:t>
              </w:r>
            </w:hyperlink>
            <w:hyperlink w:anchor="i28f7f2029a5f48189903d18d6ae9ee14_145">
              <w:r>
                <w:rPr>
                  <w:rStyle w:val="InternetLink"/>
                  <w:rFonts w:ascii="Times New Roman;serif" w:hAnsi="Times New Roman;serif"/>
                  <w:b w:val="false"/>
                  <w:color w:val="000080"/>
                  <w:sz w:val="20"/>
                  <w:u w:val="single"/>
                </w:rPr>
                <w:t>, 2026</w:t>
              </w:r>
            </w:hyperlink>
            <w:hyperlink w:anchor="i28f7f2029a5f48189903d18d6ae9ee14_154">
              <w:r>
                <w:rPr>
                  <w:rStyle w:val="InternetLink"/>
                  <w:rFonts w:ascii="Times New Roman;serif" w:hAnsi="Times New Roman;serif"/>
                  <w:b w:val="false"/>
                  <w:color w:val="000080"/>
                  <w:sz w:val="20"/>
                  <w:u w:val="single"/>
                </w:rPr>
                <w:t xml:space="preserve"> (unaudited) and December 31, 2025 (audited)</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f7f2029a5f48189903d18d6ae9ee14_154">
              <w:r>
                <w:rPr>
                  <w:rStyle w:val="InternetLink"/>
                  <w:rFonts w:ascii="Times New Roman;serif" w:hAnsi="Times New Roman;serif"/>
                  <w:b w:val="false"/>
                  <w:color w:val="0000FF"/>
                  <w:sz w:val="20"/>
                  <w:u w:val="single"/>
                </w:rPr>
                <w:t>F-5</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f7f2029a5f48189903d18d6ae9ee14_160">
              <w:r>
                <w:rPr>
                  <w:rStyle w:val="InternetLink"/>
                  <w:rFonts w:ascii="Times New Roman;serif" w:hAnsi="Times New Roman;serif"/>
                  <w:b w:val="false"/>
                  <w:color w:val="000080"/>
                  <w:sz w:val="20"/>
                  <w:u w:val="single"/>
                </w:rPr>
                <w:t xml:space="preserve">Consolidated Statements of Equity for the </w:t>
              </w:r>
            </w:hyperlink>
            <w:hyperlink w:anchor="i28f7f2029a5f48189903d18d6ae9ee14_145">
              <w:r>
                <w:rPr>
                  <w:rStyle w:val="InternetLink"/>
                  <w:rFonts w:ascii="Times New Roman;serif" w:hAnsi="Times New Roman;serif"/>
                  <w:b w:val="false"/>
                  <w:color w:val="000080"/>
                  <w:sz w:val="20"/>
                  <w:u w:val="single"/>
                </w:rPr>
                <w:t>Three</w:t>
              </w:r>
            </w:hyperlink>
            <w:hyperlink w:anchor="i28f7f2029a5f48189903d18d6ae9ee14_145">
              <w:r>
                <w:rPr>
                  <w:rStyle w:val="InternetLink"/>
                  <w:rFonts w:ascii="Times New Roman;serif" w:hAnsi="Times New Roman;serif"/>
                  <w:b w:val="false"/>
                  <w:color w:val="000080"/>
                  <w:sz w:val="20"/>
                  <w:u w:val="single"/>
                </w:rPr>
                <w:t xml:space="preserve"> and Six</w:t>
              </w:r>
            </w:hyperlink>
            <w:hyperlink w:anchor="i28f7f2029a5f48189903d18d6ae9ee14_145">
              <w:r>
                <w:rPr>
                  <w:rStyle w:val="InternetLink"/>
                  <w:rFonts w:ascii="Times New Roman;serif" w:hAnsi="Times New Roman;serif"/>
                  <w:b w:val="false"/>
                  <w:color w:val="000080"/>
                  <w:sz w:val="20"/>
                  <w:u w:val="single"/>
                </w:rPr>
                <w:t xml:space="preserve"> months ended </w:t>
              </w:r>
            </w:hyperlink>
            <w:hyperlink w:anchor="i28f7f2029a5f48189903d18d6ae9ee14_145">
              <w:r>
                <w:rPr>
                  <w:rStyle w:val="InternetLink"/>
                  <w:rFonts w:ascii="Times New Roman;serif" w:hAnsi="Times New Roman;serif"/>
                  <w:b w:val="false"/>
                  <w:color w:val="000080"/>
                  <w:sz w:val="20"/>
                  <w:u w:val="single"/>
                </w:rPr>
                <w:t>June</w:t>
              </w:r>
            </w:hyperlink>
            <w:hyperlink w:anchor="i28f7f2029a5f48189903d18d6ae9ee14_145">
              <w:r>
                <w:rPr>
                  <w:rStyle w:val="InternetLink"/>
                  <w:rFonts w:ascii="Times New Roman;serif" w:hAnsi="Times New Roman;serif"/>
                  <w:b w:val="false"/>
                  <w:color w:val="000080"/>
                  <w:sz w:val="20"/>
                  <w:u w:val="single"/>
                </w:rPr>
                <w:t xml:space="preserve"> 27</w:t>
              </w:r>
            </w:hyperlink>
            <w:hyperlink w:anchor="i28f7f2029a5f48189903d18d6ae9ee14_145">
              <w:r>
                <w:rPr>
                  <w:rStyle w:val="InternetLink"/>
                  <w:rFonts w:ascii="Times New Roman;serif" w:hAnsi="Times New Roman;serif"/>
                  <w:b w:val="false"/>
                  <w:color w:val="000080"/>
                  <w:sz w:val="20"/>
                  <w:u w:val="single"/>
                </w:rPr>
                <w:t xml:space="preserve">, 2026 and </w:t>
              </w:r>
            </w:hyperlink>
            <w:hyperlink w:anchor="i28f7f2029a5f48189903d18d6ae9ee14_145">
              <w:r>
                <w:rPr>
                  <w:rStyle w:val="InternetLink"/>
                  <w:rFonts w:ascii="Times New Roman;serif" w:hAnsi="Times New Roman;serif"/>
                  <w:b w:val="false"/>
                  <w:color w:val="000080"/>
                  <w:sz w:val="20"/>
                  <w:u w:val="single"/>
                </w:rPr>
                <w:t>June 28</w:t>
              </w:r>
            </w:hyperlink>
            <w:hyperlink w:anchor="i28f7f2029a5f48189903d18d6ae9ee14_145">
              <w:r>
                <w:rPr>
                  <w:rStyle w:val="InternetLink"/>
                  <w:rFonts w:ascii="Times New Roman;serif" w:hAnsi="Times New Roman;serif"/>
                  <w:b w:val="false"/>
                  <w:color w:val="000080"/>
                  <w:sz w:val="20"/>
                  <w:u w:val="single"/>
                </w:rPr>
                <w:t>, 2025 (unaudited)</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f7f2029a5f48189903d18d6ae9ee14_157">
              <w:r>
                <w:rPr>
                  <w:rStyle w:val="InternetLink"/>
                  <w:rFonts w:ascii="Times New Roman;serif" w:hAnsi="Times New Roman;serif"/>
                  <w:b w:val="false"/>
                  <w:color w:val="0000FF"/>
                  <w:sz w:val="20"/>
                  <w:u w:val="single"/>
                </w:rPr>
                <w:t>F-6</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f7f2029a5f48189903d18d6ae9ee14_163">
              <w:r>
                <w:rPr>
                  <w:rStyle w:val="InternetLink"/>
                  <w:rFonts w:ascii="Times New Roman;serif" w:hAnsi="Times New Roman;serif"/>
                  <w:b w:val="false"/>
                  <w:color w:val="000080"/>
                  <w:sz w:val="20"/>
                  <w:u w:val="single"/>
                </w:rPr>
                <w:t xml:space="preserve">Consolidated Statements of Cash Flows for the </w:t>
              </w:r>
            </w:hyperlink>
            <w:hyperlink w:anchor="i28f7f2029a5f48189903d18d6ae9ee14_163">
              <w:r>
                <w:rPr>
                  <w:rStyle w:val="InternetLink"/>
                  <w:rFonts w:ascii="Times New Roman;serif" w:hAnsi="Times New Roman;serif"/>
                  <w:b w:val="false"/>
                  <w:color w:val="000080"/>
                  <w:sz w:val="20"/>
                  <w:u w:val="single"/>
                </w:rPr>
                <w:t>Six</w:t>
              </w:r>
            </w:hyperlink>
            <w:hyperlink w:anchor="i28f7f2029a5f48189903d18d6ae9ee14_163">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June 27, 2026</w:t>
            </w:r>
            <w:hyperlink w:anchor="i28f7f2029a5f48189903d18d6ae9ee14_145">
              <w:r>
                <w:rPr>
                  <w:rStyle w:val="InternetLink"/>
                  <w:rFonts w:ascii="Times New Roman;serif" w:hAnsi="Times New Roman;serif"/>
                  <w:b w:val="false"/>
                  <w:color w:val="000080"/>
                  <w:sz w:val="20"/>
                  <w:u w:val="single"/>
                </w:rPr>
                <w:t xml:space="preserve"> and </w:t>
              </w:r>
            </w:hyperlink>
            <w:hyperlink w:anchor="i28f7f2029a5f48189903d18d6ae9ee14_145">
              <w:r>
                <w:rPr>
                  <w:rStyle w:val="InternetLink"/>
                  <w:rFonts w:ascii="Times New Roman;serif" w:hAnsi="Times New Roman;serif"/>
                  <w:b w:val="false"/>
                  <w:color w:val="000080"/>
                  <w:sz w:val="20"/>
                  <w:u w:val="single"/>
                </w:rPr>
                <w:t>June 28</w:t>
              </w:r>
            </w:hyperlink>
            <w:hyperlink w:anchor="i28f7f2029a5f48189903d18d6ae9ee14_145">
              <w:r>
                <w:rPr>
                  <w:rStyle w:val="InternetLink"/>
                  <w:rFonts w:ascii="Times New Roman;serif" w:hAnsi="Times New Roman;serif"/>
                  <w:b w:val="false"/>
                  <w:color w:val="000080"/>
                  <w:sz w:val="20"/>
                  <w:u w:val="single"/>
                </w:rPr>
                <w:t>, 2025</w:t>
              </w:r>
            </w:hyperlink>
            <w:hyperlink w:anchor="i28f7f2029a5f48189903d18d6ae9ee14_163">
              <w:r>
                <w:rPr>
                  <w:rStyle w:val="InternetLink"/>
                  <w:rFonts w:ascii="Times New Roman;serif" w:hAnsi="Times New Roman;serif"/>
                  <w:b w:val="false"/>
                  <w:color w:val="000080"/>
                  <w:sz w:val="20"/>
                  <w:u w:val="single"/>
                </w:rPr>
                <w:t xml:space="preserve"> (unaudited)</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f7f2029a5f48189903d18d6ae9ee14_163">
              <w:r>
                <w:rPr>
                  <w:rStyle w:val="InternetLink"/>
                  <w:rFonts w:ascii="Times New Roman;serif" w:hAnsi="Times New Roman;serif"/>
                  <w:b w:val="false"/>
                  <w:color w:val="0000FF"/>
                  <w:sz w:val="20"/>
                  <w:u w:val="single"/>
                </w:rPr>
                <w:t>F-8</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f7f2029a5f48189903d18d6ae9ee14_166">
              <w:r>
                <w:rPr>
                  <w:rStyle w:val="InternetLink"/>
                  <w:rFonts w:ascii="Times New Roman;serif" w:hAnsi="Times New Roman;serif"/>
                  <w:b w:val="false"/>
                  <w:color w:val="0000FF"/>
                  <w:sz w:val="20"/>
                  <w:u w:val="single"/>
                </w:rPr>
                <w:t>Notes to Interim Consolidated Financial Statements (unaudited)</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f7f2029a5f48189903d18d6ae9ee14_166">
              <w:r>
                <w:rPr>
                  <w:rStyle w:val="InternetLink"/>
                  <w:rFonts w:ascii="Times New Roman;serif" w:hAnsi="Times New Roman;serif"/>
                  <w:b w:val="false"/>
                  <w:color w:val="0000FF"/>
                  <w:sz w:val="20"/>
                  <w:u w:val="single"/>
                </w:rPr>
                <w:t>F-9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before="0" w:after="0"/>
        <w:jc w:val="both"/>
        <w:rPr/>
      </w:pPr>
      <w:r>
        <w:rPr/>
      </w:r>
    </w:p>
    <w:tbl>
      <w:tblPr>
        <w:tblW w:w="9410" w:type="dxa"/>
        <w:jc w:val="left"/>
        <w:tblInd w:w="0" w:type="dxa"/>
        <w:tblLayout w:type="fixed"/>
        <w:tblCellMar>
          <w:top w:w="28" w:type="dxa"/>
          <w:left w:w="28" w:type="dxa"/>
          <w:bottom w:w="28" w:type="dxa"/>
          <w:right w:w="28" w:type="dxa"/>
        </w:tblCellMar>
      </w:tblPr>
      <w:tblGrid>
        <w:gridCol w:w="2331"/>
        <w:gridCol w:w="2054"/>
        <w:gridCol w:w="2064"/>
        <w:gridCol w:w="109"/>
        <w:gridCol w:w="109"/>
        <w:gridCol w:w="109"/>
        <w:gridCol w:w="344"/>
        <w:gridCol w:w="346"/>
        <w:gridCol w:w="285"/>
        <w:gridCol w:w="199"/>
        <w:gridCol w:w="199"/>
        <w:gridCol w:w="199"/>
        <w:gridCol w:w="344"/>
        <w:gridCol w:w="346"/>
        <w:gridCol w:w="372"/>
      </w:tblGrid>
      <w:tr>
        <w:trPr/>
        <w:tc>
          <w:tcPr>
            <w:tcW w:w="233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4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millions of U.S.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June 27, </w:t>
              <w:br/>
              <w:t>2026</w:t>
            </w:r>
          </w:p>
        </w:tc>
        <w:tc>
          <w:tcPr>
            <w:tcW w:w="59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June 28, </w:t>
              <w:br/>
              <w:t>2025</w:t>
            </w:r>
          </w:p>
        </w:tc>
      </w:tr>
      <w:tr>
        <w:trPr/>
        <w:tc>
          <w:tcPr>
            <w:tcW w:w="64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3,487</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2,766</w:t>
            </w:r>
            <w:r>
              <w:rPr>
                <w:color w:val="000000"/>
              </w:rPr>
              <w:t> </w:t>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1,215</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926</w:t>
            </w:r>
            <w:r>
              <w:rPr>
                <w:color w:val="000000"/>
              </w:rPr>
              <w:t> </w:t>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3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components of pension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parent company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3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(Basic) attributable to parent company's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0.25</w:t>
            </w: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(0.11)</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(Diluted) attributable to parent company's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0.24</w:t>
            </w:r>
            <w:r>
              <w:rPr>
                <w:color w:val="000000"/>
              </w:rPr>
              <w:t> </w:t>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(0.11)</w:t>
            </w:r>
          </w:p>
        </w:tc>
        <w:tc>
          <w:tcPr>
            <w:tcW w:w="3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0" w:type="dxa"/>
            <w:gridSpan w:val="15"/>
            <w:tcBorders>
              <w:left w:val="single" w:sz="8" w:space="0" w:color="FFFFFF"/>
              <w:bottom w:val="single" w:sz="8" w:space="0" w:color="FFFFFF"/>
              <w:right w:val="single" w:sz="8" w:space="0" w:color="FFFFFF"/>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financial statements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right"/>
        <w:rPr/>
      </w:pPr>
      <w:r>
        <w:rPr/>
        <w:drawing>
          <wp:inline distT="0" distB="0" distL="0" distR="0">
            <wp:extent cx="1990725" cy="752475"/>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1990725" cy="752475"/>
                    </a:xfrm>
                    <a:prstGeom prst="rect">
                      <a:avLst/>
                    </a:prstGeom>
                  </pic:spPr>
                </pic:pic>
              </a:graphicData>
            </a:graphic>
          </wp:inline>
        </w:drawing>
      </w:r>
    </w:p>
    <w:p>
      <w:pPr>
        <w:pStyle w:val="TextBody"/>
        <w:bidi w:val="0"/>
        <w:spacing w:before="0" w:after="24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before="0" w:after="0"/>
        <w:jc w:val="both"/>
        <w:rPr/>
      </w:pPr>
      <w:r>
        <w:rPr/>
      </w:r>
    </w:p>
    <w:tbl>
      <w:tblPr>
        <w:tblW w:w="9312" w:type="dxa"/>
        <w:jc w:val="left"/>
        <w:tblInd w:w="0" w:type="dxa"/>
        <w:tblLayout w:type="fixed"/>
        <w:tblCellMar>
          <w:top w:w="28" w:type="dxa"/>
          <w:left w:w="28" w:type="dxa"/>
          <w:bottom w:w="28" w:type="dxa"/>
          <w:right w:w="28" w:type="dxa"/>
        </w:tblCellMar>
      </w:tblPr>
      <w:tblGrid>
        <w:gridCol w:w="2331"/>
        <w:gridCol w:w="2054"/>
        <w:gridCol w:w="2064"/>
        <w:gridCol w:w="109"/>
        <w:gridCol w:w="109"/>
        <w:gridCol w:w="109"/>
        <w:gridCol w:w="397"/>
        <w:gridCol w:w="293"/>
        <w:gridCol w:w="264"/>
        <w:gridCol w:w="173"/>
        <w:gridCol w:w="173"/>
        <w:gridCol w:w="173"/>
        <w:gridCol w:w="344"/>
        <w:gridCol w:w="346"/>
        <w:gridCol w:w="373"/>
      </w:tblGrid>
      <w:tr>
        <w:trPr/>
        <w:tc>
          <w:tcPr>
            <w:tcW w:w="233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4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millions of U.S.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June 27, </w:t>
              <w:br/>
              <w:t>2026</w:t>
            </w:r>
          </w:p>
        </w:tc>
        <w:tc>
          <w:tcPr>
            <w:tcW w:w="5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June 28, </w:t>
              <w:br/>
              <w:t>2025</w:t>
            </w:r>
          </w:p>
        </w:tc>
      </w:tr>
      <w:tr>
        <w:trPr/>
        <w:tc>
          <w:tcPr>
            <w:tcW w:w="64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6,582</w:t>
            </w:r>
            <w:r>
              <w:rPr>
                <w:color w:val="000000"/>
              </w:rPr>
              <w:t>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5,283</w:t>
            </w:r>
            <w:r>
              <w:rPr>
                <w:color w:val="000000"/>
              </w:rPr>
              <w:t> </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w:t>
            </w:r>
            <w:r>
              <w:rPr>
                <w:color w:val="000000"/>
              </w:rPr>
              <w:t>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1,767</w:t>
            </w:r>
            <w:r>
              <w:rPr>
                <w:color w:val="000000"/>
              </w:rPr>
              <w:t> </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3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components of pension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308</w:t>
            </w:r>
            <w:r>
              <w:rPr>
                <w:color w:val="000000"/>
              </w:rPr>
              <w:t>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w:t>
            </w:r>
            <w:r>
              <w:rPr>
                <w:color w:val="000000"/>
              </w:rPr>
              <w:t>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parent company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w:t>
            </w:r>
            <w:r>
              <w:rPr>
                <w:color w:val="000000"/>
              </w:rPr>
              <w:t> </w:t>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(Basic) attributable to parent company's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0.29</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(Diluted) attributable to parent company's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0.28</w:t>
            </w:r>
            <w:r>
              <w:rPr>
                <w:color w:val="000000"/>
              </w:rPr>
              <w:t> </w:t>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(0.05)</w:t>
            </w:r>
          </w:p>
        </w:tc>
        <w:tc>
          <w:tcPr>
            <w:tcW w:w="3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312" w:type="dxa"/>
            <w:gridSpan w:val="15"/>
            <w:tcBorders>
              <w:top w:val="single" w:sz="8" w:space="0" w:color="FFFFFF"/>
              <w:left w:val="single" w:sz="8" w:space="0" w:color="FFFFFF"/>
              <w:bottom w:val="single" w:sz="8" w:space="0" w:color="FFFFFF"/>
              <w:right w:val="single" w:sz="8" w:space="0" w:color="FFFFFF"/>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financial statements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right"/>
        <w:rPr/>
      </w:pPr>
      <w:r>
        <w:rPr/>
        <w:drawing>
          <wp:inline distT="0" distB="0" distL="0" distR="0">
            <wp:extent cx="1990725" cy="752475"/>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1990725" cy="752475"/>
                    </a:xfrm>
                    <a:prstGeom prst="rect">
                      <a:avLst/>
                    </a:prstGeom>
                  </pic:spPr>
                </pic:pic>
              </a:graphicData>
            </a:graphic>
          </wp:inline>
        </w:drawing>
      </w:r>
    </w:p>
    <w:p>
      <w:pPr>
        <w:pStyle w:val="TextBody"/>
        <w:bidi w:val="0"/>
        <w:spacing w:before="0" w:after="24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38"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8896" w:type="dxa"/>
        <w:jc w:val="left"/>
        <w:tblInd w:w="0" w:type="dxa"/>
        <w:tblLayout w:type="fixed"/>
        <w:tblCellMar>
          <w:top w:w="28" w:type="dxa"/>
          <w:left w:w="28" w:type="dxa"/>
          <w:bottom w:w="28" w:type="dxa"/>
          <w:right w:w="28" w:type="dxa"/>
        </w:tblCellMar>
      </w:tblPr>
      <w:tblGrid>
        <w:gridCol w:w="2251"/>
        <w:gridCol w:w="1978"/>
        <w:gridCol w:w="1995"/>
        <w:gridCol w:w="109"/>
        <w:gridCol w:w="109"/>
        <w:gridCol w:w="109"/>
        <w:gridCol w:w="285"/>
        <w:gridCol w:w="285"/>
        <w:gridCol w:w="285"/>
        <w:gridCol w:w="197"/>
        <w:gridCol w:w="197"/>
        <w:gridCol w:w="197"/>
        <w:gridCol w:w="263"/>
        <w:gridCol w:w="263"/>
        <w:gridCol w:w="373"/>
      </w:tblGrid>
      <w:tr>
        <w:trPr/>
        <w:tc>
          <w:tcPr>
            <w:tcW w:w="2251"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 million of U.S. dollars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27, </w:t>
              <w:br/>
              <w:t>2026</w:t>
            </w:r>
          </w:p>
        </w:tc>
        <w:tc>
          <w:tcPr>
            <w:tcW w:w="5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28, </w:t>
              <w:br/>
              <w:t>2025</w:t>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cash-flow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for net (gains)/losses realized and included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 in unrealized gains/losses on cash-flow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for net (gains)/losses realized and included in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 in unrealized gains/losses on available-for 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3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Actuarial gains (losses)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(gains) losses included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 in unrealized gains/losses on 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3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w:t>
            </w:r>
            <w:r>
              <w:rPr>
                <w:color w:val="000000"/>
              </w:rPr>
              <w:t> </w:t>
            </w:r>
          </w:p>
        </w:tc>
        <w:tc>
          <w:tcPr>
            <w:tcW w:w="3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w:t>
              <w:br/>
              <w:t xml:space="preserve">   noncontrolling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attributable to parent company's</w:t>
              <w:br/>
              <w:t>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3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96" w:type="dxa"/>
            <w:gridSpan w:val="15"/>
            <w:tcBorders>
              <w:top w:val="single" w:sz="8" w:space="0" w:color="FFFFFF"/>
              <w:left w:val="single" w:sz="8" w:space="0" w:color="FFFFFF"/>
              <w:bottom w:val="single" w:sz="8" w:space="0" w:color="FFFFFF"/>
              <w:right w:val="single" w:sz="8" w:space="0" w:color="FFFFFF"/>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financial statements</w:t>
            </w:r>
          </w:p>
        </w:tc>
      </w:tr>
    </w:tbl>
    <w:p>
      <w:pPr>
        <w:pStyle w:val="TextBody"/>
        <w:bidi w:val="0"/>
        <w:spacing w:before="0" w:after="0"/>
        <w:jc w:val="right"/>
        <w:rPr/>
      </w:pPr>
      <w:r>
        <w:rPr/>
        <w:drawing>
          <wp:inline distT="0" distB="0" distL="0" distR="0">
            <wp:extent cx="1990725" cy="752475"/>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4"/>
                    <a:stretch>
                      <a:fillRect/>
                    </a:stretch>
                  </pic:blipFill>
                  <pic:spPr bwMode="auto">
                    <a:xfrm>
                      <a:off x="0" y="0"/>
                      <a:ext cx="1990725" cy="752475"/>
                    </a:xfrm>
                    <a:prstGeom prst="rect">
                      <a:avLst/>
                    </a:prstGeom>
                  </pic:spPr>
                </pic:pic>
              </a:graphicData>
            </a:graphic>
          </wp:inline>
        </w:drawing>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0"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8733" w:type="dxa"/>
        <w:jc w:val="left"/>
        <w:tblInd w:w="0" w:type="dxa"/>
        <w:tblLayout w:type="fixed"/>
        <w:tblCellMar>
          <w:top w:w="28" w:type="dxa"/>
          <w:left w:w="28" w:type="dxa"/>
          <w:bottom w:w="28" w:type="dxa"/>
          <w:right w:w="28" w:type="dxa"/>
        </w:tblCellMar>
      </w:tblPr>
      <w:tblGrid>
        <w:gridCol w:w="2258"/>
        <w:gridCol w:w="1979"/>
        <w:gridCol w:w="1987"/>
        <w:gridCol w:w="109"/>
        <w:gridCol w:w="109"/>
        <w:gridCol w:w="109"/>
        <w:gridCol w:w="309"/>
        <w:gridCol w:w="250"/>
        <w:gridCol w:w="250"/>
        <w:gridCol w:w="173"/>
        <w:gridCol w:w="173"/>
        <w:gridCol w:w="173"/>
        <w:gridCol w:w="250"/>
        <w:gridCol w:w="250"/>
        <w:gridCol w:w="354"/>
      </w:tblGrid>
      <w:tr>
        <w:trPr/>
        <w:tc>
          <w:tcPr>
            <w:tcW w:w="2258"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2026</w:t>
            </w:r>
          </w:p>
        </w:tc>
        <w:tc>
          <w:tcPr>
            <w:tcW w:w="5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2025</w:t>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w:t>
            </w:r>
            <w:r>
              <w:rPr>
                <w:color w:val="000000"/>
              </w:rPr>
              <w:t>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3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cash-flow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for net (gains)/losses realized and included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 in unrealized gains/losses on cash-flow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3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for net (gains)/losses realized and included in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 in unrealized gains/losses on available-for 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Actuarial gains/(losses) arising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(gains)/losses included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 in unrealized gains/losses on 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3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w:t>
            </w: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w:t>
            </w:r>
            <w:r>
              <w:rPr>
                <w:color w:val="000000"/>
              </w:rPr>
              <w:t> </w:t>
            </w:r>
          </w:p>
        </w:tc>
        <w:tc>
          <w:tcPr>
            <w:tcW w:w="3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w:t>
              <w:br/>
              <w:t>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comprehensive income attributable to parent company's</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w:t>
            </w:r>
            <w:r>
              <w:rPr>
                <w:color w:val="000000"/>
              </w:rPr>
              <w:t> </w:t>
            </w:r>
          </w:p>
        </w:tc>
        <w:tc>
          <w:tcPr>
            <w:tcW w:w="3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33" w:type="dxa"/>
            <w:gridSpan w:val="15"/>
            <w:tcBorders>
              <w:top w:val="single" w:sz="8" w:space="0" w:color="FFFFFF"/>
              <w:left w:val="single" w:sz="8" w:space="0" w:color="FFFFFF"/>
              <w:bottom w:val="single" w:sz="8" w:space="0" w:color="FFFFFF"/>
              <w:right w:val="single" w:sz="8" w:space="0" w:color="FFFFFF"/>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financial statements</w:t>
            </w:r>
          </w:p>
        </w:tc>
      </w:tr>
    </w:tbl>
    <w:p>
      <w:pPr>
        <w:pStyle w:val="TextBody"/>
        <w:bidi w:val="0"/>
        <w:spacing w:before="0" w:after="0"/>
        <w:jc w:val="right"/>
        <w:rPr/>
      </w:pPr>
      <w:r>
        <w:rPr/>
        <w:drawing>
          <wp:inline distT="0" distB="0" distL="0" distR="0">
            <wp:extent cx="1990725" cy="752475"/>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5"/>
                    <a:stretch>
                      <a:fillRect/>
                    </a:stretch>
                  </pic:blipFill>
                  <pic:spPr bwMode="auto">
                    <a:xfrm>
                      <a:off x="0" y="0"/>
                      <a:ext cx="1990725" cy="752475"/>
                    </a:xfrm>
                    <a:prstGeom prst="rect">
                      <a:avLst/>
                    </a:prstGeom>
                  </pic:spPr>
                </pic:pic>
              </a:graphicData>
            </a:graphic>
          </wp:inline>
        </w:drawing>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2"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60"/>
        <w:jc w:val="both"/>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053"/>
        <w:gridCol w:w="2125"/>
        <w:gridCol w:w="2133"/>
        <w:gridCol w:w="109"/>
        <w:gridCol w:w="109"/>
        <w:gridCol w:w="109"/>
        <w:gridCol w:w="368"/>
        <w:gridCol w:w="368"/>
        <w:gridCol w:w="354"/>
        <w:gridCol w:w="109"/>
        <w:gridCol w:w="109"/>
        <w:gridCol w:w="109"/>
        <w:gridCol w:w="414"/>
        <w:gridCol w:w="330"/>
        <w:gridCol w:w="406"/>
      </w:tblGrid>
      <w:tr>
        <w:trPr/>
        <w:tc>
          <w:tcPr>
            <w:tcW w:w="3053"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In millions of U.S. dollars, except per share amounts and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(Audited)</w:t>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3,096 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2,837 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1,136 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985 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2,067 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1,745 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3,188 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3,136 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1,468 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12,697</w:t>
            </w:r>
            <w:r>
              <w:rPr>
                <w:color w:val="000000"/>
              </w:rPr>
              <w:t> </w:t>
            </w:r>
          </w:p>
        </w:tc>
        <w:tc>
          <w:tcPr>
            <w:tcW w:w="3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11,271</w:t>
            </w:r>
            <w:r>
              <w:rPr>
                <w:color w:val="000000"/>
              </w:rPr>
              <w:t> </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10,895 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11,058 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435 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1,272 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27,032</w:t>
            </w:r>
            <w:r>
              <w:rPr>
                <w:color w:val="000000"/>
              </w:rPr>
              <w:t>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24,800</w:t>
            </w:r>
            <w:r>
              <w:rPr>
                <w:color w:val="000000"/>
              </w:rPr>
              <w:t>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1,774 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1,487 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payables and accrued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1,440 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payable to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4,570</w:t>
            </w:r>
            <w:r>
              <w:rPr>
                <w:color w:val="000000"/>
              </w:rPr>
              <w:t> </w:t>
            </w:r>
          </w:p>
        </w:tc>
        <w:tc>
          <w:tcPr>
            <w:tcW w:w="3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3,351</w:t>
            </w:r>
            <w:r>
              <w:rPr>
                <w:color w:val="000000"/>
              </w:rPr>
              <w:t> </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2,962 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1,835 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Post-employment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1,010 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8,982</w:t>
            </w:r>
            <w:r>
              <w:rPr>
                <w:color w:val="000000"/>
              </w:rPr>
              <w:t> </w:t>
            </w:r>
          </w:p>
        </w:tc>
        <w:tc>
          <w:tcPr>
            <w:tcW w:w="3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6,575</w:t>
            </w:r>
            <w:r>
              <w:rPr>
                <w:color w:val="000000"/>
              </w:rPr>
              <w:t>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Parent company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(preferred stock: 540,000,000 shares authorized, not issued; common stock: Euro 1.04 par value, 1,200,000,000 shares authorized, 911,281,920 shares issued, 892,545,207 shares outstanding as of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1,157 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1,157 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3,373 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3,281 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12,888 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13,082 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parent company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17,644</w:t>
            </w: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17,828</w:t>
            </w: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406 </w:t>
            </w:r>
          </w:p>
        </w:tc>
        <w:tc>
          <w:tcPr>
            <w:tcW w:w="3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18,050</w:t>
            </w:r>
            <w:r>
              <w:rPr>
                <w:color w:val="000000"/>
              </w:rPr>
              <w:t> </w:t>
            </w:r>
          </w:p>
        </w:tc>
        <w:tc>
          <w:tcPr>
            <w:tcW w:w="3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18,225</w:t>
            </w:r>
            <w:r>
              <w:rPr>
                <w:color w:val="000000"/>
              </w:rPr>
              <w:t> </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27,032</w:t>
            </w:r>
            <w:r>
              <w:rPr>
                <w:color w:val="000000"/>
              </w:rPr>
              <w:t>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9"/>
              </w:rPr>
              <w:t>24,800</w:t>
            </w:r>
            <w:r>
              <w:rPr>
                <w:color w:val="000000"/>
              </w:rPr>
              <w:t>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unaudited consolidated financial statements</w:t>
            </w:r>
          </w:p>
        </w:tc>
      </w:tr>
    </w:tbl>
    <w:p>
      <w:pPr>
        <w:pStyle w:val="TextBody"/>
        <w:bidi w:val="0"/>
        <w:spacing w:before="0" w:after="0"/>
        <w:ind w:left="0" w:right="0" w:firstLine="720"/>
        <w:jc w:val="both"/>
        <w:rPr/>
      </w:pPr>
      <w:r>
        <w:rPr/>
        <w:drawing>
          <wp:inline distT="0" distB="0" distL="0" distR="0">
            <wp:extent cx="2000250" cy="75247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6"/>
                    <a:stretch>
                      <a:fillRect/>
                    </a:stretch>
                  </pic:blipFill>
                  <pic:spPr bwMode="auto">
                    <a:xfrm>
                      <a:off x="0" y="0"/>
                      <a:ext cx="2000250" cy="7524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4"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EQUITY</w:t>
      </w:r>
    </w:p>
    <w:tbl>
      <w:tblPr>
        <w:tblW w:w="10205" w:type="dxa"/>
        <w:jc w:val="left"/>
        <w:tblInd w:w="0" w:type="dxa"/>
        <w:tblLayout w:type="fixed"/>
        <w:tblCellMar>
          <w:top w:w="28" w:type="dxa"/>
          <w:left w:w="28" w:type="dxa"/>
          <w:bottom w:w="28" w:type="dxa"/>
          <w:right w:w="28" w:type="dxa"/>
        </w:tblCellMar>
      </w:tblPr>
      <w:tblGrid>
        <w:gridCol w:w="875"/>
        <w:gridCol w:w="418"/>
        <w:gridCol w:w="420"/>
        <w:gridCol w:w="109"/>
        <w:gridCol w:w="109"/>
        <w:gridCol w:w="109"/>
        <w:gridCol w:w="285"/>
        <w:gridCol w:w="286"/>
        <w:gridCol w:w="231"/>
        <w:gridCol w:w="109"/>
        <w:gridCol w:w="109"/>
        <w:gridCol w:w="109"/>
        <w:gridCol w:w="318"/>
        <w:gridCol w:w="295"/>
        <w:gridCol w:w="296"/>
        <w:gridCol w:w="109"/>
        <w:gridCol w:w="109"/>
        <w:gridCol w:w="109"/>
        <w:gridCol w:w="234"/>
        <w:gridCol w:w="234"/>
        <w:gridCol w:w="231"/>
        <w:gridCol w:w="109"/>
        <w:gridCol w:w="109"/>
        <w:gridCol w:w="109"/>
        <w:gridCol w:w="330"/>
        <w:gridCol w:w="331"/>
        <w:gridCol w:w="236"/>
        <w:gridCol w:w="109"/>
        <w:gridCol w:w="109"/>
        <w:gridCol w:w="109"/>
        <w:gridCol w:w="365"/>
        <w:gridCol w:w="365"/>
        <w:gridCol w:w="366"/>
        <w:gridCol w:w="109"/>
        <w:gridCol w:w="109"/>
        <w:gridCol w:w="109"/>
        <w:gridCol w:w="295"/>
        <w:gridCol w:w="295"/>
        <w:gridCol w:w="296"/>
        <w:gridCol w:w="109"/>
        <w:gridCol w:w="109"/>
        <w:gridCol w:w="109"/>
        <w:gridCol w:w="330"/>
        <w:gridCol w:w="331"/>
        <w:gridCol w:w="253"/>
      </w:tblGrid>
      <w:tr>
        <w:trPr/>
        <w:tc>
          <w:tcPr>
            <w:tcW w:w="8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Non 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Equity</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29,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3,142</w:t>
            </w: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(582)</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13,514</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495</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233</w:t>
            </w: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17,959</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$0.36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28,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3,187</w:t>
            </w: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(490)</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12,911</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983</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236</w:t>
            </w: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17,984</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Non 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Equity</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28,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3,331</w:t>
            </w: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(636)</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13,118</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798</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403</w:t>
            </w:r>
            <w:r>
              <w:rPr>
                <w:color w:val="000000"/>
              </w:rPr>
              <w:t>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18,171</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225</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$0.36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27,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12,888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18,050</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accompanying notes are an integral part of these unaudited consolidated financial statements</w:t>
            </w:r>
          </w:p>
        </w:tc>
      </w:tr>
    </w:tbl>
    <w:p>
      <w:pPr>
        <w:pStyle w:val="TextBody"/>
        <w:bidi w:val="0"/>
        <w:spacing w:before="0" w:after="2"/>
        <w:jc w:val="right"/>
        <w:rPr/>
      </w:pPr>
      <w:r>
        <w:rPr/>
        <w:drawing>
          <wp:inline distT="0" distB="0" distL="0" distR="0">
            <wp:extent cx="1990725" cy="752475"/>
            <wp:effectExtent l="0" t="0" r="0" b="0"/>
            <wp:docPr id="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6" descr=""/>
                    <pic:cNvPicPr>
                      <a:picLocks noChangeAspect="1" noChangeArrowheads="1"/>
                    </pic:cNvPicPr>
                  </pic:nvPicPr>
                  <pic:blipFill>
                    <a:blip r:embed="rId7"/>
                    <a:stretch>
                      <a:fillRect/>
                    </a:stretch>
                  </pic:blipFill>
                  <pic:spPr bwMode="auto">
                    <a:xfrm>
                      <a:off x="0" y="0"/>
                      <a:ext cx="1990725" cy="7524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6"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EQUITY</w:t>
      </w:r>
    </w:p>
    <w:tbl>
      <w:tblPr>
        <w:tblW w:w="10205" w:type="dxa"/>
        <w:jc w:val="left"/>
        <w:tblInd w:w="0" w:type="dxa"/>
        <w:tblLayout w:type="fixed"/>
        <w:tblCellMar>
          <w:top w:w="28" w:type="dxa"/>
          <w:left w:w="28" w:type="dxa"/>
          <w:bottom w:w="28" w:type="dxa"/>
          <w:right w:w="28" w:type="dxa"/>
        </w:tblCellMar>
      </w:tblPr>
      <w:tblGrid>
        <w:gridCol w:w="909"/>
        <w:gridCol w:w="404"/>
        <w:gridCol w:w="406"/>
        <w:gridCol w:w="109"/>
        <w:gridCol w:w="109"/>
        <w:gridCol w:w="109"/>
        <w:gridCol w:w="285"/>
        <w:gridCol w:w="286"/>
        <w:gridCol w:w="231"/>
        <w:gridCol w:w="109"/>
        <w:gridCol w:w="109"/>
        <w:gridCol w:w="109"/>
        <w:gridCol w:w="317"/>
        <w:gridCol w:w="294"/>
        <w:gridCol w:w="295"/>
        <w:gridCol w:w="109"/>
        <w:gridCol w:w="109"/>
        <w:gridCol w:w="109"/>
        <w:gridCol w:w="234"/>
        <w:gridCol w:w="234"/>
        <w:gridCol w:w="231"/>
        <w:gridCol w:w="109"/>
        <w:gridCol w:w="109"/>
        <w:gridCol w:w="109"/>
        <w:gridCol w:w="330"/>
        <w:gridCol w:w="331"/>
        <w:gridCol w:w="236"/>
        <w:gridCol w:w="109"/>
        <w:gridCol w:w="109"/>
        <w:gridCol w:w="109"/>
        <w:gridCol w:w="365"/>
        <w:gridCol w:w="365"/>
        <w:gridCol w:w="366"/>
        <w:gridCol w:w="109"/>
        <w:gridCol w:w="109"/>
        <w:gridCol w:w="109"/>
        <w:gridCol w:w="294"/>
        <w:gridCol w:w="294"/>
        <w:gridCol w:w="295"/>
        <w:gridCol w:w="109"/>
        <w:gridCol w:w="109"/>
        <w:gridCol w:w="109"/>
        <w:gridCol w:w="330"/>
        <w:gridCol w:w="331"/>
        <w:gridCol w:w="253"/>
      </w:tblGrid>
      <w:tr>
        <w:trPr/>
        <w:tc>
          <w:tcPr>
            <w:tcW w:w="9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 million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Non 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Equity</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 (Audited)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3,088</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(491)</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13,459</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236</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230</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17,679</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w:t>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712 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$0.36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28,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3,187</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(490)</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12,911</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983</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236</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17,984</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 million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Non 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Equity</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 (Audited)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3,281</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(637)</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13,082</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945</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397</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18,225</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$0.36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27,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1,157</w:t>
            </w:r>
            <w:r>
              <w:rPr>
                <w:color w:val="000000"/>
              </w:rPr>
              <w:t>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3,373</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(506)</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12,888</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732</w:t>
            </w:r>
            <w:r>
              <w:rPr>
                <w:color w:val="000000"/>
              </w:rPr>
              <w:t> </w:t>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406</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18,050</w:t>
            </w:r>
            <w:r>
              <w:rPr>
                <w:color w:val="000000"/>
              </w:rPr>
              <w:t> </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accompanying notes are an integral part of these unaudited consolidated financial statements</w:t>
            </w:r>
          </w:p>
        </w:tc>
      </w:tr>
    </w:tbl>
    <w:p>
      <w:pPr>
        <w:pStyle w:val="TextBody"/>
        <w:bidi w:val="0"/>
        <w:spacing w:before="0" w:after="2"/>
        <w:jc w:val="right"/>
        <w:rPr/>
      </w:pPr>
      <w:r>
        <w:rPr/>
        <w:drawing>
          <wp:inline distT="0" distB="0" distL="0" distR="0">
            <wp:extent cx="1990725" cy="75247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8"/>
                    <a:stretch>
                      <a:fillRect/>
                    </a:stretch>
                  </pic:blipFill>
                  <pic:spPr bwMode="auto">
                    <a:xfrm>
                      <a:off x="0" y="0"/>
                      <a:ext cx="1990725" cy="7524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STMicroelectronics N.V.</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8722" w:type="dxa"/>
        <w:jc w:val="left"/>
        <w:tblInd w:w="0" w:type="dxa"/>
        <w:tblLayout w:type="fixed"/>
        <w:tblCellMar>
          <w:top w:w="28" w:type="dxa"/>
          <w:left w:w="28" w:type="dxa"/>
          <w:bottom w:w="28" w:type="dxa"/>
          <w:right w:w="28" w:type="dxa"/>
        </w:tblCellMar>
      </w:tblPr>
      <w:tblGrid>
        <w:gridCol w:w="2183"/>
        <w:gridCol w:w="1914"/>
        <w:gridCol w:w="1933"/>
        <w:gridCol w:w="109"/>
        <w:gridCol w:w="109"/>
        <w:gridCol w:w="109"/>
        <w:gridCol w:w="357"/>
        <w:gridCol w:w="273"/>
        <w:gridCol w:w="265"/>
        <w:gridCol w:w="164"/>
        <w:gridCol w:w="164"/>
        <w:gridCol w:w="164"/>
        <w:gridCol w:w="355"/>
        <w:gridCol w:w="275"/>
        <w:gridCol w:w="348"/>
      </w:tblGrid>
      <w:tr>
        <w:trPr/>
        <w:tc>
          <w:tcPr>
            <w:tcW w:w="218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0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June 27, </w:t>
              <w:br/>
              <w:t>2026</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June 28, </w:t>
              <w:br/>
              <w:t>2025</w:t>
            </w:r>
          </w:p>
        </w:tc>
      </w:tr>
      <w:tr>
        <w:trPr/>
        <w:tc>
          <w:tcPr>
            <w:tcW w:w="60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268</w:t>
            </w: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Items to reconcile net income and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issuance costs on convertible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 non-cash restructuring charges and other related phase-out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1,036</w:t>
            </w:r>
            <w:r>
              <w:rPr>
                <w:color w:val="000000"/>
              </w:rPr>
              <w:t> </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928</w:t>
            </w:r>
            <w:r>
              <w:rPr>
                <w:color w:val="000000"/>
              </w:rPr>
              <w:t>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capital grants and other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matured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(investment in) short-term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24242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(2,560)</w:t>
            </w:r>
          </w:p>
        </w:tc>
        <w:tc>
          <w:tcPr>
            <w:tcW w:w="265" w:type="dxa"/>
            <w:tcBorders>
              <w:top w:val="single" w:sz="4"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24242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(1,128)</w:t>
            </w:r>
          </w:p>
        </w:tc>
        <w:tc>
          <w:tcPr>
            <w:tcW w:w="348" w:type="dxa"/>
            <w:tcBorders>
              <w:top w:val="single" w:sz="4"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issuance of 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withholding tax on 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from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242424"/>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1,790</w:t>
            </w:r>
            <w:r>
              <w:rPr>
                <w:color w:val="000000"/>
              </w:rPr>
              <w:t> </w:t>
            </w:r>
          </w:p>
        </w:tc>
        <w:tc>
          <w:tcPr>
            <w:tcW w:w="265" w:type="dxa"/>
            <w:tcBorders>
              <w:top w:val="single" w:sz="4"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24242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(473)</w:t>
            </w:r>
          </w:p>
        </w:tc>
        <w:tc>
          <w:tcPr>
            <w:tcW w:w="348" w:type="dxa"/>
            <w:tcBorders>
              <w:top w:val="single" w:sz="4"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259</w:t>
            </w: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(666)</w:t>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2,837</w:t>
            </w:r>
            <w:r>
              <w:rPr>
                <w:color w:val="000000"/>
              </w:rPr>
              <w:t> </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2,282</w:t>
            </w:r>
            <w:r>
              <w:rPr>
                <w:color w:val="000000"/>
              </w:rPr>
              <w:t>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3,096</w:t>
            </w: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1,616</w:t>
            </w:r>
            <w:r>
              <w:rPr>
                <w:color w:val="000000"/>
              </w:rPr>
              <w:t> </w:t>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68" w:before="0" w:after="240"/>
        <w:jc w:val="center"/>
        <w:rPr>
          <w:rFonts w:ascii="Times New Roman;serif" w:hAnsi="Times New Roman;serif"/>
          <w:b/>
          <w:color w:val="000000"/>
          <w:sz w:val="28"/>
        </w:rPr>
      </w:pPr>
      <w:r>
        <w:rPr>
          <w:rFonts w:ascii="Times New Roman;serif" w:hAnsi="Times New Roman;serif"/>
          <w:b/>
          <w:color w:val="000000"/>
          <w:sz w:val="28"/>
        </w:rPr>
        <w:t>STMicroelectronics N.V.</w:t>
      </w:r>
    </w:p>
    <w:p>
      <w:pPr>
        <w:pStyle w:val="TextBody"/>
        <w:bidi w:val="0"/>
        <w:spacing w:lineRule="auto" w:line="268" w:before="0" w:after="240"/>
        <w:jc w:val="left"/>
        <w:rPr>
          <w:rFonts w:ascii="Times New Roman;serif" w:hAnsi="Times New Roman;serif"/>
          <w:b/>
          <w:color w:val="000000"/>
          <w:sz w:val="28"/>
        </w:rPr>
      </w:pPr>
      <w:r>
        <w:rPr>
          <w:rFonts w:ascii="Times New Roman;serif" w:hAnsi="Times New Roman;serif"/>
          <w:b/>
          <w:color w:val="000000"/>
          <w:sz w:val="28"/>
        </w:rPr>
        <w:t>Notes to Interim Consolidated Financial Statements (Unaudited)</w: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1.The Company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STMicroelectronics N.V. (the “Company”) is registered in the Netherlands with its corporate legal seat in Amsterdam, the Netherlands, and its corporate headquarters located in Geneva, Switzerland.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a global semiconductor company that designs, develops, manufactures and markets a broad range of products, including discrete and general-purpose components, application-specific integrated circuits (“ASICs”), full custom devices and semi-custom devices and application-specific standard products (“ASSPs”) for analog, digital and mixed-signal applications. In addition, the Company participates in the manufacturing value chain of smartcard products, which includes the production and sale of both silicon chips and smartcards.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2.Fiscal Year</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December 31. Interim periods are established for accounting purposes on a thirteen-week basis.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first quarter ended on March 28, 2026, the second quarter ended on June 27, 2026, the third quarter will end on September 26, 2026 and its fourth quarter will end on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3.Basis of Presentation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of the Company have been prepared in conformity with accounting principles generally accepted in the United States of America (“U.S. GAAP”), consistent in all material respects with those applied for the year ended December 31, 2025. The interim financial information is unaudited and reflects all normal adjustments which are, in the opinion of management, necessary to provide a fair statement of results for the periods presented. The results of operations for the interim period are not necessarily indicative of the results to be expected for the entire year.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All balances and values in the current and prior periods are in millions of U.S. dollars, except share and per-share amounts.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do not include certain footnotes and financial disclosures normally required on an annual basis under U.S. GAAP. Therefore, these unaudited interim consolidated financial statements should be read in conjunction with the audited consolidated financial statements included in the Company’s Annual Report on Form 20-F for the year ended December 31, 2025, as filed with the U.S. Securities and Exchange Commission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4.Use of Estimates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accordance with U.S. GAAP requires management to make estimates and assumptions. The primary areas that require significant estimates and judgments by management include, but are not limited to: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sales allowances for discounts, price protection, product returns, rebates, and other forms of variable consideration such as non-cash amounts payable to customers,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inventory obsolescence reserves and assessment of normal manufacturing capacity to determine costs capitalized in inventory,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annual and trigger-based impairment review of goodwill and intangible assets, as well as the assessment of events which could trigger impairment testing on tangible assets, and the assessment of the Company’s long-lived assets economic useful lives,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recognition and measurement of loss contingencies,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valuation at fair value of assets acquired and liabilities assumed on business acquisitions, and measurement of any significant contingent consideration,</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assumptions used in measuring expected credit losses and impairment charges on financial assets,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assumptions used in assessing the number of awards expected to vest on stock-based compensation plans,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assumptions used in calculating net defined pension benefit obligations and other long-term employee benefits, and</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determination of the amount of tax expected to be paid and tax benefit expected to be received, including deferred income tax assets, valuation allowance and provisions for uncertain tax positions and claims.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bases the estimates and assumptions on historical experience and on various other factors such as market trends, market information used by market participants and the latest available business plans that it believes to be reasonable under the circumstances, the results of which form the basis for making judgments about the carrying values of assets and liabilities. While the Company regularly evaluates its estimates and assumptions, the actual results experienced by the Company could differ materially and adversely from those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5.Recent Accounting Pronouncements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the Company did not adopt any new accounting guidance that had a material impact on its financial position and results of operations.</w:t>
      </w:r>
    </w:p>
    <w:p>
      <w:pPr>
        <w:pStyle w:val="TextBody"/>
        <w:bidi w:val="0"/>
        <w:spacing w:lineRule="auto" w:line="268" w:before="0" w:after="2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-Expense Disaggregation Disclosures (Subtopic 220-40): Disaggregation of Income Statement Expenses</w:t>
      </w:r>
      <w:r>
        <w:rPr>
          <w:color w:val="000000"/>
        </w:rPr>
        <w:t xml:space="preserve"> </w:t>
      </w:r>
      <w:r>
        <w:rPr>
          <w:rFonts w:ascii="Times New Roman;serif" w:hAnsi="Times New Roman;serif"/>
          <w:b w:val="false"/>
          <w:color w:val="000000"/>
          <w:sz w:val="20"/>
        </w:rPr>
        <w:t>to improve comprehensive income disclosures, requiring disaggregation of income statement expenses. Additionally, in January 2025, the FASB issued additional clarification regarding the effective date. The guidance is effective for fiscal years beginning after December 15, 2026 and for interim periods within fiscal years beginning after December 15, 2027. The Company is currently finalizing the impact that the new guidance will have on its income statement expense disclosures.</w:t>
      </w:r>
    </w:p>
    <w:p>
      <w:pPr>
        <w:pStyle w:val="TextBody"/>
        <w:bidi w:val="0"/>
        <w:spacing w:lineRule="auto" w:line="268" w:before="0" w:after="24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 accounting for government grants received by business entities - Expense Disaggregation Disclosures (Subtopic 220-40): Disaggregation of Income Statement Expenses</w:t>
      </w:r>
      <w:r>
        <w:rPr>
          <w:color w:val="000000"/>
        </w:rPr>
        <w:t xml:space="preserve"> </w:t>
      </w:r>
      <w:r>
        <w:rPr>
          <w:rFonts w:ascii="Times New Roman;serif" w:hAnsi="Times New Roman;serif"/>
          <w:b w:val="false"/>
          <w:color w:val="000000"/>
          <w:sz w:val="20"/>
        </w:rPr>
        <w:t>on accounting for government grants, addressing recognition, classification, measurement, presentation, and related disclosures. The guidance will be effective for annual reporting periods beginning after December 15, 2028, and interim reporting periods within those annual reporting periods. As the new guidance aligns U.S. GAAP with existing IFRS standards that the Company already applies by analogy to public funding, no significant impact is expected on the Company’s consolidated financial statements. However, the Company is evaluating potential impact on related disclosures.</w:t>
      </w:r>
    </w:p>
    <w:p>
      <w:pPr>
        <w:pStyle w:val="TextBody"/>
        <w:bidi w:val="0"/>
        <w:spacing w:lineRule="auto" w:line="268" w:before="0" w:after="240"/>
        <w:jc w:val="both"/>
        <w:rPr/>
      </w:pPr>
      <w:r>
        <w:rPr>
          <w:rFonts w:ascii="Times New Roman;serif" w:hAnsi="Times New Roman;serif"/>
          <w:b w:val="false"/>
          <w:color w:val="000000"/>
          <w:sz w:val="20"/>
        </w:rPr>
        <w:t>In the second quarter of 2026, the FASB issued ASU 2026-02</w:t>
      </w:r>
      <w:r>
        <w:rPr>
          <w:color w:val="000000"/>
        </w:rPr>
        <w:t xml:space="preserve"> </w:t>
      </w:r>
      <w:r>
        <w:rPr>
          <w:rFonts w:ascii="Times New Roman;serif" w:hAnsi="Times New Roman;serif"/>
          <w:b w:val="false"/>
          <w:i/>
          <w:color w:val="000000"/>
          <w:sz w:val="20"/>
        </w:rPr>
        <w:t>Environmental Credits And Environmental Credit Obligations (Topic 818)</w:t>
      </w:r>
      <w:r>
        <w:rPr>
          <w:color w:val="000000"/>
        </w:rPr>
        <w:t xml:space="preserve"> </w:t>
      </w:r>
      <w:r>
        <w:rPr>
          <w:rFonts w:ascii="Times New Roman;serif" w:hAnsi="Times New Roman;serif"/>
          <w:b w:val="false"/>
          <w:color w:val="000000"/>
          <w:sz w:val="20"/>
        </w:rPr>
        <w:t>effective for annual reporting periods beginning after December 15, 2027, and interim reporting periods within those annual reporting periods. The Company is currently assessing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68" w:before="0" w:after="120"/>
        <w:ind w:left="0" w:right="0" w:hanging="360"/>
        <w:jc w:val="left"/>
        <w:rPr>
          <w:rFonts w:ascii="Times New Roman;serif" w:hAnsi="Times New Roman;serif"/>
          <w:b/>
          <w:color w:val="000000"/>
          <w:sz w:val="24"/>
        </w:rPr>
      </w:pPr>
      <w:r>
        <w:rPr>
          <w:rFonts w:ascii="Times New Roman;serif" w:hAnsi="Times New Roman;serif"/>
          <w:b/>
          <w:color w:val="000000"/>
          <w:sz w:val="24"/>
        </w:rPr>
        <w:t>6.Other Income and Expenses, Net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and expenses, net consisted of the following:</w:t>
      </w:r>
    </w:p>
    <w:tbl>
      <w:tblPr>
        <w:tblW w:w="7810" w:type="dxa"/>
        <w:jc w:val="left"/>
        <w:tblInd w:w="0" w:type="dxa"/>
        <w:tblLayout w:type="fixed"/>
        <w:tblCellMar>
          <w:top w:w="28" w:type="dxa"/>
          <w:left w:w="28" w:type="dxa"/>
          <w:bottom w:w="28" w:type="dxa"/>
          <w:right w:w="28" w:type="dxa"/>
        </w:tblCellMar>
      </w:tblPr>
      <w:tblGrid>
        <w:gridCol w:w="1112"/>
        <w:gridCol w:w="979"/>
        <w:gridCol w:w="983"/>
        <w:gridCol w:w="109"/>
        <w:gridCol w:w="109"/>
        <w:gridCol w:w="109"/>
        <w:gridCol w:w="255"/>
        <w:gridCol w:w="255"/>
        <w:gridCol w:w="255"/>
        <w:gridCol w:w="175"/>
        <w:gridCol w:w="175"/>
        <w:gridCol w:w="175"/>
        <w:gridCol w:w="255"/>
        <w:gridCol w:w="255"/>
        <w:gridCol w:w="255"/>
        <w:gridCol w:w="109"/>
        <w:gridCol w:w="109"/>
        <w:gridCol w:w="109"/>
        <w:gridCol w:w="254"/>
        <w:gridCol w:w="254"/>
        <w:gridCol w:w="256"/>
        <w:gridCol w:w="151"/>
        <w:gridCol w:w="151"/>
        <w:gridCol w:w="151"/>
        <w:gridCol w:w="237"/>
        <w:gridCol w:w="237"/>
        <w:gridCol w:w="336"/>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07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Public funding </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52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45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0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Patent and other related claim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074" w:type="dxa"/>
            <w:gridSpan w:val="3"/>
            <w:tcBorders/>
            <w:shd w:fill="CFF0FC"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Gain on sale of non-current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Cancellation and postponement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FF0FC"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07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25</w:t>
            </w:r>
          </w:p>
        </w:tc>
        <w:tc>
          <w:tcPr>
            <w:tcW w:w="52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70</w:t>
            </w:r>
          </w:p>
        </w:tc>
        <w:tc>
          <w:tcPr>
            <w:tcW w:w="4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115</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public funding from governmental bodies in several jurisdictions.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Start-up costs represent costs incurred in the ramp-up phase of the Company’s newly integrated manufacturing activities. In the second quarter of 2026, the Company started its manufacturing activities and entered into the ramp-up phase of the new 200mm silicon carbide manufacturing in Catania, Italy and the new 200mm silicon carbide device manufacturing Sanan ST joint venture in Chongqing, China.</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Exchange gains and losses, net represent the portion of exchange rate changes on transactions denominated in currencies other than a subsidiary’s functional currency and the changes in fair value of derivative instruments which are not designated as hedges, as described in Note 31.</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Patent and other related claim costs mainly include legal and attorney fees and payment for claims, patent pre-litigation consultancy and legal fees. They are reported net of settlements, if any, which primarily include reimbursements of prior patent litigation costs.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Cancellation and postponement fees are costs incurred when purchases for committed equipment or planned services are cancelled or postponed.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ind w:left="0" w:right="0" w:hanging="360"/>
        <w:jc w:val="left"/>
        <w:rPr>
          <w:rFonts w:ascii="Times New Roman;serif" w:hAnsi="Times New Roman;serif"/>
          <w:b/>
          <w:color w:val="000000"/>
          <w:sz w:val="24"/>
        </w:rPr>
      </w:pPr>
      <w:r>
        <w:rPr>
          <w:rFonts w:ascii="Times New Roman;serif" w:hAnsi="Times New Roman;serif"/>
          <w:b/>
          <w:color w:val="000000"/>
          <w:sz w:val="24"/>
        </w:rPr>
        <w:t>7.Business Combinations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2, 2026, the Company completed the acquisition of MEMS sensor business from NXP Semiconductors (“NXP”). The acquisition expands ST’s global sensors capabilities and strengthens its position in automotive safety while broadening its presence across automotive non-safety and industrial end markets. The transaction has been accounted for as a business combination, and the activities of the acquired business are included in the Analog, MEMS and Sensors (AM&amp;S) reportable segment.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purchase price of $936 million, which consists of a cash component and a contingent consideration, is described below:</w:t>
      </w:r>
    </w:p>
    <w:tbl>
      <w:tblPr>
        <w:tblW w:w="5458" w:type="dxa"/>
        <w:jc w:val="left"/>
        <w:tblInd w:w="0" w:type="dxa"/>
        <w:tblLayout w:type="fixed"/>
        <w:tblCellMar>
          <w:top w:w="28" w:type="dxa"/>
          <w:left w:w="28" w:type="dxa"/>
          <w:bottom w:w="28" w:type="dxa"/>
          <w:right w:w="28" w:type="dxa"/>
        </w:tblCellMar>
      </w:tblPr>
      <w:tblGrid>
        <w:gridCol w:w="941"/>
        <w:gridCol w:w="826"/>
        <w:gridCol w:w="827"/>
        <w:gridCol w:w="838"/>
        <w:gridCol w:w="838"/>
        <w:gridCol w:w="1188"/>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Purchase price at acquisition date</w:t>
            </w:r>
          </w:p>
        </w:tc>
      </w:tr>
      <w:tr>
        <w:trPr/>
        <w:tc>
          <w:tcPr>
            <w:tcW w:w="259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86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Closing adjustments</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28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w:t>
            </w:r>
          </w:p>
        </w:tc>
        <w:tc>
          <w:tcPr>
            <w:tcW w:w="28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acquisition date, the total consideration transferred to NXP in relation to the acquisition of its MEMS sensor business consisted of cash consideration amounting to $895 million, net of closing adjustments, paid in the first quarter of 2026, and a contingent consideration of $41 million. The fair value of the consideration transferred was determined by the Company with the assistance of a third-party valuation expert as part of the preliminary purchase price allocation. The contingent consideration is structured in the form of an earn-out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payment contingent upon the successful completion of a certain technology process transfer and was measured at fair value using a scenario-based, probability-weighted approach, discounted to present value using a U.S. dollar denominated cost of debt. This fair value measurement corresponds to a Level 3 measurement hierarchy, which is further described in Note 32.</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the Company incurred deal-related costs of $14 million, which were expensed as incurred and included in the line “Selling, general and administrative expenses” in the consolidated statement of income for the first six months ended of 2026.</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2026, the purchase price allocation of the business combination was subject to finalization. The preliminary allocation of the $936 million consideration on identifiable assets acquired and liabilities assumed, at acquisition date, was as follows: </w:t>
      </w:r>
    </w:p>
    <w:tbl>
      <w:tblPr>
        <w:tblW w:w="5400" w:type="dxa"/>
        <w:jc w:val="left"/>
        <w:tblInd w:w="0" w:type="dxa"/>
        <w:tblLayout w:type="fixed"/>
        <w:tblCellMar>
          <w:top w:w="28" w:type="dxa"/>
          <w:left w:w="28" w:type="dxa"/>
          <w:bottom w:w="28" w:type="dxa"/>
          <w:right w:w="28" w:type="dxa"/>
        </w:tblCellMar>
      </w:tblPr>
      <w:tblGrid>
        <w:gridCol w:w="1428"/>
        <w:gridCol w:w="1250"/>
        <w:gridCol w:w="1267"/>
        <w:gridCol w:w="426"/>
        <w:gridCol w:w="426"/>
        <w:gridCol w:w="603"/>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Fair value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recognized at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acquisition date</w:t>
            </w:r>
          </w:p>
        </w:tc>
      </w:tr>
      <w:tr>
        <w:trPr/>
        <w:tc>
          <w:tcPr>
            <w:tcW w:w="394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45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&amp; equipment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&amp; licenses</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Reacquired rights</w:t>
            </w:r>
          </w:p>
        </w:tc>
        <w:tc>
          <w:tcPr>
            <w:tcW w:w="14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9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 acquired (excluding goodwill)</w:t>
            </w:r>
          </w:p>
        </w:tc>
        <w:tc>
          <w:tcPr>
            <w:tcW w:w="14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w:t>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Employee-related liabilities</w:t>
            </w:r>
          </w:p>
        </w:tc>
        <w:tc>
          <w:tcPr>
            <w:tcW w:w="14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9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14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r>
      <w:tr>
        <w:trPr/>
        <w:tc>
          <w:tcPr>
            <w:tcW w:w="394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assets acquired (including goodwill)</w:t>
            </w:r>
          </w:p>
        </w:tc>
        <w:tc>
          <w:tcPr>
            <w:tcW w:w="145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is considered preliminary, and additional adjustments may be recorded during the measurement period.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goodwill arising from the acquisition is primarily attributable to the expected future growth potential of the acquired sensors portfolio, and the assembled workforce.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Pro forma revenue and earnings have not been presented as the historical and pro forma results of the NXP MEMS sensor business are not material in relation to the Company’s consolidated financial statements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ind w:left="0" w:right="0" w:hanging="360"/>
        <w:jc w:val="left"/>
        <w:rPr>
          <w:rFonts w:ascii="Times New Roman;serif" w:hAnsi="Times New Roman;serif"/>
          <w:b/>
          <w:color w:val="000000"/>
          <w:sz w:val="24"/>
        </w:rPr>
      </w:pPr>
      <w:r>
        <w:rPr>
          <w:rFonts w:ascii="Times New Roman;serif" w:hAnsi="Times New Roman;serif"/>
          <w:b/>
          <w:color w:val="000000"/>
          <w:sz w:val="24"/>
        </w:rPr>
        <w:t>8.Impairment, restructuring charges and other related phase-out costs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Starting 2025, the Company engaged in a company-wide program aimed to reshape its manufacturing footprint by accelerating the wafer fab capacity to 300mm Silicon (Italy and France) and 200mm Silicon Carbide (Italy and Singapore) and resizing its global cost base. This program is expected to result in strengthening the Company's capability to grow revenues with an improved operating efficiency.</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 incurred in the second quarter and first half of 2026 are summarized as follows:</w:t>
      </w:r>
    </w:p>
    <w:tbl>
      <w:tblPr>
        <w:tblW w:w="10205" w:type="dxa"/>
        <w:jc w:val="left"/>
        <w:tblInd w:w="0" w:type="dxa"/>
        <w:tblLayout w:type="fixed"/>
        <w:tblCellMar>
          <w:top w:w="28" w:type="dxa"/>
          <w:left w:w="28" w:type="dxa"/>
          <w:bottom w:w="28" w:type="dxa"/>
          <w:right w:w="28" w:type="dxa"/>
        </w:tblCellMar>
      </w:tblPr>
      <w:tblGrid>
        <w:gridCol w:w="812"/>
        <w:gridCol w:w="695"/>
        <w:gridCol w:w="583"/>
        <w:gridCol w:w="345"/>
        <w:gridCol w:w="345"/>
        <w:gridCol w:w="346"/>
        <w:gridCol w:w="514"/>
        <w:gridCol w:w="514"/>
        <w:gridCol w:w="516"/>
        <w:gridCol w:w="573"/>
        <w:gridCol w:w="573"/>
        <w:gridCol w:w="575"/>
        <w:gridCol w:w="1116"/>
        <w:gridCol w:w="1116"/>
        <w:gridCol w:w="1582"/>
      </w:tblGrid>
      <w:tr>
        <w:trPr/>
        <w:tc>
          <w:tcPr>
            <w:tcW w:w="81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27, 2026</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Impairment</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Restructuring charges</w:t>
            </w:r>
          </w:p>
        </w:tc>
        <w:tc>
          <w:tcPr>
            <w:tcW w:w="17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Other related phase-out costs</w:t>
            </w:r>
          </w:p>
        </w:tc>
        <w:tc>
          <w:tcPr>
            <w:tcW w:w="3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 impairment, restructuring charges and other related phase-out costs</w:t>
            </w:r>
          </w:p>
        </w:tc>
      </w:tr>
      <w:tr>
        <w:trPr/>
        <w:tc>
          <w:tcPr>
            <w:tcW w:w="2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reshaping pillar</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8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base resizing pillar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814"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w:t>
            </w:r>
          </w:p>
        </w:tc>
        <w:tc>
          <w:tcPr>
            <w:tcW w:w="1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w:t>
            </w:r>
          </w:p>
        </w:tc>
        <w:tc>
          <w:tcPr>
            <w:tcW w:w="38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w:t>
            </w:r>
          </w:p>
        </w:tc>
      </w:tr>
      <w:tr>
        <w:trPr/>
        <w:tc>
          <w:tcPr>
            <w:tcW w:w="2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87"/>
        <w:gridCol w:w="694"/>
        <w:gridCol w:w="630"/>
        <w:gridCol w:w="345"/>
        <w:gridCol w:w="345"/>
        <w:gridCol w:w="346"/>
        <w:gridCol w:w="518"/>
        <w:gridCol w:w="518"/>
        <w:gridCol w:w="519"/>
        <w:gridCol w:w="581"/>
        <w:gridCol w:w="581"/>
        <w:gridCol w:w="583"/>
        <w:gridCol w:w="1099"/>
        <w:gridCol w:w="1099"/>
        <w:gridCol w:w="1560"/>
      </w:tblGrid>
      <w:tr>
        <w:trPr/>
        <w:tc>
          <w:tcPr>
            <w:tcW w:w="78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27, 2026</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Impairment</w:t>
            </w:r>
          </w:p>
        </w:tc>
        <w:tc>
          <w:tcPr>
            <w:tcW w:w="15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Restructuring charges</w:t>
            </w:r>
          </w:p>
        </w:tc>
        <w:tc>
          <w:tcPr>
            <w:tcW w:w="17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Other related phase-out costs</w:t>
            </w:r>
          </w:p>
        </w:tc>
        <w:tc>
          <w:tcPr>
            <w:tcW w:w="37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 impairment, restructuring charges and other related closure costs</w:t>
            </w:r>
          </w:p>
        </w:tc>
      </w:tr>
      <w:tr>
        <w:trPr/>
        <w:tc>
          <w:tcPr>
            <w:tcW w:w="21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reshaping pillar</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7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7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base resizing pillar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758"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55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w:t>
            </w:r>
          </w:p>
        </w:tc>
        <w:tc>
          <w:tcPr>
            <w:tcW w:w="174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w:t>
            </w:r>
          </w:p>
        </w:tc>
        <w:tc>
          <w:tcPr>
            <w:tcW w:w="3758"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129</w:t>
            </w:r>
          </w:p>
        </w:tc>
      </w:tr>
    </w:tbl>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 incurred in the second quarter and first half of 2025 are summarized as follows:</w:t>
      </w:r>
    </w:p>
    <w:tbl>
      <w:tblPr>
        <w:tblW w:w="10205" w:type="dxa"/>
        <w:jc w:val="left"/>
        <w:tblInd w:w="0" w:type="dxa"/>
        <w:tblLayout w:type="fixed"/>
        <w:tblCellMar>
          <w:top w:w="28" w:type="dxa"/>
          <w:left w:w="28" w:type="dxa"/>
          <w:bottom w:w="28" w:type="dxa"/>
          <w:right w:w="28" w:type="dxa"/>
        </w:tblCellMar>
      </w:tblPr>
      <w:tblGrid>
        <w:gridCol w:w="812"/>
        <w:gridCol w:w="695"/>
        <w:gridCol w:w="583"/>
        <w:gridCol w:w="345"/>
        <w:gridCol w:w="345"/>
        <w:gridCol w:w="346"/>
        <w:gridCol w:w="514"/>
        <w:gridCol w:w="514"/>
        <w:gridCol w:w="516"/>
        <w:gridCol w:w="573"/>
        <w:gridCol w:w="573"/>
        <w:gridCol w:w="575"/>
        <w:gridCol w:w="1116"/>
        <w:gridCol w:w="1116"/>
        <w:gridCol w:w="1582"/>
      </w:tblGrid>
      <w:tr>
        <w:trPr/>
        <w:tc>
          <w:tcPr>
            <w:tcW w:w="81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28, 2025</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Impairment</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Restructuring charges</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related phase-out costs</w:t>
            </w:r>
          </w:p>
        </w:tc>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impairment, restructuring charges and other related phase-out costs</w:t>
            </w:r>
          </w:p>
        </w:tc>
      </w:tr>
      <w:tr>
        <w:trPr/>
        <w:tc>
          <w:tcPr>
            <w:tcW w:w="2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reshaping pillar</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15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base resizing pillar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w:t>
            </w:r>
          </w:p>
        </w:tc>
        <w:tc>
          <w:tcPr>
            <w:tcW w:w="15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(57)</w:t>
            </w:r>
          </w:p>
        </w:tc>
        <w:tc>
          <w:tcPr>
            <w:tcW w:w="1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(190)</w:t>
            </w:r>
          </w:p>
        </w:tc>
      </w:tr>
      <w:tr>
        <w:trPr/>
        <w:tc>
          <w:tcPr>
            <w:tcW w:w="2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28, 2025</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Impairment</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Restructuring charges</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related phase-out costs</w:t>
            </w:r>
          </w:p>
        </w:tc>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impairment, restructuring charges and other related closure costs</w:t>
            </w:r>
          </w:p>
        </w:tc>
      </w:tr>
      <w:tr>
        <w:trPr/>
        <w:tc>
          <w:tcPr>
            <w:tcW w:w="2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reshaping pillar</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15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base resizing pillar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09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w:t>
            </w:r>
          </w:p>
        </w:tc>
        <w:tc>
          <w:tcPr>
            <w:tcW w:w="154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w:t>
            </w:r>
          </w:p>
        </w:tc>
        <w:tc>
          <w:tcPr>
            <w:tcW w:w="172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81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(198)</w:t>
            </w:r>
          </w:p>
        </w:tc>
      </w:tr>
    </w:tbl>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Impairment charges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 indicators of impairment were identified in the second quarter of 2026, and no impairment charges were recorded in the consolidated statement of income for the first six months ended as of June 27, 2026. In the second quarter of 2025, the Company reported $133 million charges related to impairment of which $113 million related to the manufacturing pillar of the program and $20 million on a license under joint development with a third party, for which future use was no longer expected.</w:t>
      </w:r>
    </w:p>
    <w:p>
      <w:pPr>
        <w:pStyle w:val="TextBody"/>
        <w:bidi w:val="0"/>
        <w:spacing w:before="0" w:after="0"/>
        <w:jc w:val="both"/>
        <w:rPr/>
      </w:pPr>
      <w:r>
        <w:rPr/>
      </w: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 xml:space="preserve">Restructuring charges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the Company recorded restructuring charges totaling $91 million, of which $58 million recorded in the second quarter of 2026, composed of $26 million labor-related restructuring charges, $10 million non-labor related restructuring charges, corresponding primarily to equipment decommissioning, and $22 million phase-out costs.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Labor related charges included $43 million in relation to the cost base resizing pillar, $15 million costs incurred on the manufacturing reshaping program and $6 million consulting and legal advice expenses. These voluntary termination benefits are recorded on the balance sheet at the date the employees irrevocably accept the offer to leave the Company.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Non-labor related restructuring charges included $27 million charges, corresponding mainly to decommissioning of equipment and machinery in locations affected by the manufacturing reshaping program, and $38 million phase-out costs in the facilities (primarily in France and Italy) which have entered in the ramp down phase.</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In the first half of 2025, the Company recorded restructuring charges totaling $37 million in relation to the cost base resizing pillar, of which $29 million recorded in the three months ended June 28, 2025, primarily for employee voluntary termination benefits.</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recorded in the second quarter of 2025 a provision amounting to $28 million for cancellation fees payable on a long-term supply agreement in consideration of the Company’s reshape of its manufacturing footprint.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Changes to the restructuring liabilities and provisions recorded on the consolidated balance sheet as of June 27, 2026 are summarized as follows:</w:t>
      </w:r>
    </w:p>
    <w:tbl>
      <w:tblPr>
        <w:tblW w:w="8580" w:type="dxa"/>
        <w:jc w:val="left"/>
        <w:tblInd w:w="0" w:type="dxa"/>
        <w:tblLayout w:type="fixed"/>
        <w:tblCellMar>
          <w:top w:w="28" w:type="dxa"/>
          <w:left w:w="28" w:type="dxa"/>
          <w:bottom w:w="28" w:type="dxa"/>
          <w:right w:w="28" w:type="dxa"/>
        </w:tblCellMar>
      </w:tblPr>
      <w:tblGrid>
        <w:gridCol w:w="988"/>
        <w:gridCol w:w="869"/>
        <w:gridCol w:w="873"/>
        <w:gridCol w:w="1019"/>
        <w:gridCol w:w="1019"/>
        <w:gridCol w:w="1022"/>
        <w:gridCol w:w="744"/>
        <w:gridCol w:w="744"/>
        <w:gridCol w:w="746"/>
        <w:gridCol w:w="162"/>
        <w:gridCol w:w="162"/>
        <w:gridCol w:w="232"/>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Labor related liabilities and provisions</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Non-labor related provision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 of December 31, 2025</w:t>
            </w:r>
          </w:p>
        </w:tc>
        <w:tc>
          <w:tcPr>
            <w:tcW w:w="30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w:t>
            </w:r>
          </w:p>
        </w:tc>
        <w:tc>
          <w:tcPr>
            <w:tcW w:w="22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r>
          </w:p>
        </w:tc>
        <w:tc>
          <w:tcPr>
            <w:tcW w:w="5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w:t>
            </w:r>
          </w:p>
        </w:tc>
      </w:tr>
      <w:tr>
        <w:trPr/>
        <w:tc>
          <w:tcPr>
            <w:tcW w:w="27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Charges incurred in 2026</w:t>
            </w:r>
          </w:p>
        </w:tc>
        <w:tc>
          <w:tcPr>
            <w:tcW w:w="30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22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73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 of June 27, 2026</w:t>
            </w:r>
          </w:p>
        </w:tc>
        <w:tc>
          <w:tcPr>
            <w:tcW w:w="306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w:t>
            </w:r>
          </w:p>
        </w:tc>
        <w:tc>
          <w:tcPr>
            <w:tcW w:w="223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w:t>
            </w:r>
          </w:p>
        </w:tc>
        <w:tc>
          <w:tcPr>
            <w:tcW w:w="55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total actual costs that the Company will incur may differ from estimates, based on the timing required to complete the restructuring plan, the number of people involved, the final agreed termination benefits and the costs associated with the transfer of equipment, products and processes.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 xml:space="preserve">9.Interest Income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income consisted of the following:</w:t>
      </w:r>
    </w:p>
    <w:tbl>
      <w:tblPr>
        <w:tblW w:w="5728"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255"/>
        <w:gridCol w:w="255"/>
        <w:gridCol w:w="255"/>
        <w:gridCol w:w="175"/>
        <w:gridCol w:w="175"/>
        <w:gridCol w:w="175"/>
        <w:gridCol w:w="255"/>
        <w:gridCol w:w="255"/>
        <w:gridCol w:w="255"/>
        <w:gridCol w:w="239"/>
        <w:gridCol w:w="239"/>
        <w:gridCol w:w="241"/>
        <w:gridCol w:w="151"/>
        <w:gridCol w:w="151"/>
        <w:gridCol w:w="151"/>
        <w:gridCol w:w="237"/>
        <w:gridCol w:w="237"/>
        <w:gridCol w:w="33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9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6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71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13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is related to cash and cash equivalents, short-term deposits and marketable securities held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10.Interest Expense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consisted of the following:</w:t>
      </w:r>
    </w:p>
    <w:tbl>
      <w:tblPr>
        <w:tblW w:w="5818"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255"/>
        <w:gridCol w:w="255"/>
        <w:gridCol w:w="255"/>
        <w:gridCol w:w="175"/>
        <w:gridCol w:w="175"/>
        <w:gridCol w:w="175"/>
        <w:gridCol w:w="255"/>
        <w:gridCol w:w="255"/>
        <w:gridCol w:w="255"/>
        <w:gridCol w:w="239"/>
        <w:gridCol w:w="239"/>
        <w:gridCol w:w="241"/>
        <w:gridCol w:w="151"/>
        <w:gridCol w:w="151"/>
        <w:gridCol w:w="151"/>
        <w:gridCol w:w="237"/>
        <w:gridCol w:w="237"/>
        <w:gridCol w:w="336"/>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9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is related to borrowings and banking fees, including the amortization of debt issuance costs on convertible debt and was less than $1 million in the first half of 2026 and $1 million in the corresponding 2025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11.Income Taxes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 benefit (expense) is as follows:</w:t>
      </w:r>
    </w:p>
    <w:tbl>
      <w:tblPr>
        <w:tblW w:w="6869" w:type="dxa"/>
        <w:jc w:val="left"/>
        <w:tblInd w:w="0" w:type="dxa"/>
        <w:tblLayout w:type="fixed"/>
        <w:tblCellMar>
          <w:top w:w="28" w:type="dxa"/>
          <w:left w:w="28" w:type="dxa"/>
          <w:bottom w:w="28" w:type="dxa"/>
          <w:right w:w="28" w:type="dxa"/>
        </w:tblCellMar>
      </w:tblPr>
      <w:tblGrid>
        <w:gridCol w:w="889"/>
        <w:gridCol w:w="784"/>
        <w:gridCol w:w="787"/>
        <w:gridCol w:w="109"/>
        <w:gridCol w:w="109"/>
        <w:gridCol w:w="109"/>
        <w:gridCol w:w="255"/>
        <w:gridCol w:w="255"/>
        <w:gridCol w:w="255"/>
        <w:gridCol w:w="175"/>
        <w:gridCol w:w="175"/>
        <w:gridCol w:w="175"/>
        <w:gridCol w:w="255"/>
        <w:gridCol w:w="255"/>
        <w:gridCol w:w="255"/>
        <w:gridCol w:w="254"/>
        <w:gridCol w:w="254"/>
        <w:gridCol w:w="256"/>
        <w:gridCol w:w="151"/>
        <w:gridCol w:w="151"/>
        <w:gridCol w:w="151"/>
        <w:gridCol w:w="237"/>
        <w:gridCol w:w="237"/>
        <w:gridCol w:w="33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7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460" w:type="dxa"/>
            <w:gridSpan w:val="3"/>
            <w:tcBorders>
              <w:top w:val="single" w:sz="4" w:space="0" w:color="000000"/>
              <w:bottom w:val="single" w:sz="4"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525"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764" w:type="dxa"/>
            <w:gridSpan w:val="3"/>
            <w:tcBorders>
              <w:top w:val="single" w:sz="4" w:space="0" w:color="000000"/>
              <w:bottom w:val="single" w:sz="4"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53"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annual estimated effective tax rate method in its interim consolidated financial statements, as management believes it provides a reliable estimate of the expected yearly income tax expense on an interim basis. The Company recorded income tax expense of $30 million during the second quarter of 2026, reflecting a 18.1% estimated annual effective tax rate before discrete items at consolidated level, including the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estimated impact of Pillar Two taxes for 2026 which represent 0.5% of the estimated annual effective tax rate, applied to the consolidated profit before tax.</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 xml:space="preserve">12.Earnings per Share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attributable to parent company's stockholders by the weighted average number of common stock outstanding during the reporting period. Diluted EPS is computed using the weighted average number of common stock outstanding and the dilutive effect of equity instruments, such as employee stock awards, equity warrants and the shares underlying the Company’s convertible bonds. The following table shows the computation of basic and diluted EPS. For the three and six months ended June 28, 2025, the diluted effect of stock awards and the 2020 convertible bonds was excluded from the diluted EPS calculation because including them would have been antidilutive. This is attributable to the Company's reporting a net loss for the periods.</w:t>
      </w:r>
    </w:p>
    <w:tbl>
      <w:tblPr>
        <w:tblW w:w="10205" w:type="dxa"/>
        <w:jc w:val="left"/>
        <w:tblInd w:w="0" w:type="dxa"/>
        <w:tblLayout w:type="fixed"/>
        <w:tblCellMar>
          <w:top w:w="28" w:type="dxa"/>
          <w:left w:w="28" w:type="dxa"/>
          <w:bottom w:w="28" w:type="dxa"/>
          <w:right w:w="28" w:type="dxa"/>
        </w:tblCellMar>
      </w:tblPr>
      <w:tblGrid>
        <w:gridCol w:w="1510"/>
        <w:gridCol w:w="1275"/>
        <w:gridCol w:w="1258"/>
        <w:gridCol w:w="109"/>
        <w:gridCol w:w="109"/>
        <w:gridCol w:w="109"/>
        <w:gridCol w:w="428"/>
        <w:gridCol w:w="428"/>
        <w:gridCol w:w="285"/>
        <w:gridCol w:w="158"/>
        <w:gridCol w:w="158"/>
        <w:gridCol w:w="158"/>
        <w:gridCol w:w="428"/>
        <w:gridCol w:w="428"/>
        <w:gridCol w:w="285"/>
        <w:gridCol w:w="109"/>
        <w:gridCol w:w="109"/>
        <w:gridCol w:w="109"/>
        <w:gridCol w:w="379"/>
        <w:gridCol w:w="379"/>
        <w:gridCol w:w="383"/>
        <w:gridCol w:w="140"/>
        <w:gridCol w:w="140"/>
        <w:gridCol w:w="140"/>
        <w:gridCol w:w="350"/>
        <w:gridCol w:w="350"/>
        <w:gridCol w:w="491"/>
      </w:tblGrid>
      <w:tr>
        <w:trPr/>
        <w:tc>
          <w:tcPr>
            <w:tcW w:w="151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4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7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2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40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parent company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890,152,219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893,880,593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889,483,899</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894,948,421</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0.25</w:t>
            </w:r>
          </w:p>
        </w:tc>
        <w:tc>
          <w:tcPr>
            <w:tcW w:w="4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(0.11)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0.29</w:t>
            </w:r>
          </w:p>
        </w:tc>
        <w:tc>
          <w:tcPr>
            <w:tcW w:w="4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(0.05)</w:t>
            </w:r>
          </w:p>
        </w:tc>
      </w:tr>
      <w:tr>
        <w:trPr/>
        <w:tc>
          <w:tcPr>
            <w:tcW w:w="40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parent company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890,152,219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893,880,593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889,483,899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894,948,421</w:t>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7,702,815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6,630,607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12,804,570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8,171,090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17,312,718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16,979,641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used in calculating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927,972,322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893,880,593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921,265,237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894,948,421</w:t>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w:t>
            </w:r>
          </w:p>
        </w:tc>
        <w:tc>
          <w:tcPr>
            <w:tcW w:w="474"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(0.11)</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0.28</w:t>
            </w:r>
          </w:p>
        </w:tc>
        <w:tc>
          <w:tcPr>
            <w:tcW w:w="420"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(0.05)</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dilutive effect of outstanding convertible bonds was calculated using the weighted average outstanding underlying shares of the bonds during the relevant reporting period and includes for the three and six months ended June 27, 2026 the impact of senior unsecured convertible bonds issued on June 23, 2026.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the Company entered into a commercial arrangement with a customer to support and incentivize future purchases of the Company's products, primarily through the issuance of equity warrants on the Company's common stock, as further described in Note 29. The issued warrants, evaluated based on settlement terms and other classification features, are determined to be equity instruments. As such, their potential dilutive effect is included in the calculation of diluted EPS.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13.Accumulated Other Comprehensive Income (“AOCI”)</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changes in AOCI attributable to the Company’s stockholders by component, net of tax, for the six months ended June 27, 2026:</w:t>
      </w:r>
    </w:p>
    <w:tbl>
      <w:tblPr>
        <w:tblW w:w="10205" w:type="dxa"/>
        <w:jc w:val="left"/>
        <w:tblInd w:w="0" w:type="dxa"/>
        <w:tblLayout w:type="fixed"/>
        <w:tblCellMar>
          <w:top w:w="28" w:type="dxa"/>
          <w:left w:w="28" w:type="dxa"/>
          <w:bottom w:w="28" w:type="dxa"/>
          <w:right w:w="28" w:type="dxa"/>
        </w:tblCellMar>
      </w:tblPr>
      <w:tblGrid>
        <w:gridCol w:w="1029"/>
        <w:gridCol w:w="613"/>
        <w:gridCol w:w="614"/>
        <w:gridCol w:w="109"/>
        <w:gridCol w:w="109"/>
        <w:gridCol w:w="109"/>
        <w:gridCol w:w="464"/>
        <w:gridCol w:w="464"/>
        <w:gridCol w:w="466"/>
        <w:gridCol w:w="109"/>
        <w:gridCol w:w="109"/>
        <w:gridCol w:w="109"/>
        <w:gridCol w:w="601"/>
        <w:gridCol w:w="601"/>
        <w:gridCol w:w="603"/>
        <w:gridCol w:w="109"/>
        <w:gridCol w:w="109"/>
        <w:gridCol w:w="109"/>
        <w:gridCol w:w="450"/>
        <w:gridCol w:w="450"/>
        <w:gridCol w:w="452"/>
        <w:gridCol w:w="109"/>
        <w:gridCol w:w="109"/>
        <w:gridCol w:w="109"/>
        <w:gridCol w:w="380"/>
        <w:gridCol w:w="380"/>
        <w:gridCol w:w="381"/>
        <w:gridCol w:w="109"/>
        <w:gridCol w:w="109"/>
        <w:gridCol w:w="109"/>
        <w:gridCol w:w="180"/>
        <w:gridCol w:w="180"/>
        <w:gridCol w:w="262"/>
      </w:tblGrid>
      <w:tr>
        <w:trPr/>
        <w:tc>
          <w:tcPr>
            <w:tcW w:w="102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Gains (Losses) on Available- 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Defined Benefit Pension Plan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(68)</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921</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939</w:t>
            </w:r>
          </w:p>
        </w:tc>
      </w:tr>
      <w:tr>
        <w:trPr/>
        <w:tc>
          <w:tcPr>
            <w:tcW w:w="2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tax impact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 net of tax</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945</w:t>
            </w:r>
          </w:p>
        </w:tc>
      </w:tr>
      <w:tr>
        <w:trPr/>
        <w:tc>
          <w:tcPr>
            <w:tcW w:w="2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OCI for the six months ended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(228)</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OCI for the six months ended June 27, 2026,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(213)</w:t>
            </w:r>
          </w:p>
        </w:tc>
      </w:tr>
      <w:tr>
        <w:trPr/>
        <w:tc>
          <w:tcPr>
            <w:tcW w:w="22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785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711</w:t>
            </w:r>
          </w:p>
        </w:tc>
      </w:tr>
      <w:tr>
        <w:trPr/>
        <w:tc>
          <w:tcPr>
            <w:tcW w:w="22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tax impact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2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27, 2026, net of tax</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785</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732</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Items reclassified out of AOCI for the six months period ended June 27, 2026 are listed in the table below: </w:t>
      </w:r>
    </w:p>
    <w:tbl>
      <w:tblPr>
        <w:tblW w:w="10205" w:type="dxa"/>
        <w:jc w:val="left"/>
        <w:tblInd w:w="0" w:type="dxa"/>
        <w:tblLayout w:type="fixed"/>
        <w:tblCellMar>
          <w:top w:w="28" w:type="dxa"/>
          <w:left w:w="28" w:type="dxa"/>
          <w:bottom w:w="28" w:type="dxa"/>
          <w:right w:w="28" w:type="dxa"/>
        </w:tblCellMar>
      </w:tblPr>
      <w:tblGrid>
        <w:gridCol w:w="1735"/>
        <w:gridCol w:w="1320"/>
        <w:gridCol w:w="1323"/>
        <w:gridCol w:w="109"/>
        <w:gridCol w:w="109"/>
        <w:gridCol w:w="109"/>
        <w:gridCol w:w="581"/>
        <w:gridCol w:w="581"/>
        <w:gridCol w:w="583"/>
        <w:gridCol w:w="109"/>
        <w:gridCol w:w="109"/>
        <w:gridCol w:w="109"/>
        <w:gridCol w:w="1152"/>
        <w:gridCol w:w="937"/>
        <w:gridCol w:w="1339"/>
      </w:tblGrid>
      <w:tr>
        <w:trPr/>
        <w:tc>
          <w:tcPr>
            <w:tcW w:w="173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Details about 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Affected line item in the statement where net income (loss) is presented</w:t>
            </w:r>
          </w:p>
        </w:tc>
      </w:tr>
      <w:tr>
        <w:trPr/>
        <w:tc>
          <w:tcPr>
            <w:tcW w:w="43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Gains (losses) on cash flow hedge derivatives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w:t>
              <w:br/>
              <w:t>administrative expenses</w:t>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r>
      <w:tr>
        <w:trPr/>
        <w:tc>
          <w:tcPr>
            <w:tcW w:w="43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43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Defined benefit pension plan items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components of pension</w:t>
            </w:r>
          </w:p>
          <w:p>
            <w:pPr>
              <w:pStyle w:val="TableContents"/>
              <w:bidi w:val="0"/>
              <w:spacing w:lineRule="auto" w:line="288" w:before="0" w:after="0"/>
              <w:jc w:val="left"/>
              <w:rPr/>
            </w:pPr>
            <w:r>
              <w:rPr>
                <w:rFonts w:ascii="Times New Roman;serif" w:hAnsi="Times New Roman;serif"/>
                <w:b w:val="false"/>
                <w:color w:val="000000"/>
                <w:sz w:val="20"/>
              </w:rPr>
              <w:t>benefit costs</w:t>
            </w:r>
            <w:r>
              <w:rPr>
                <w:rFonts w:ascii="Times New Roman;serif" w:hAnsi="Times New Roman;serif"/>
                <w:b w:val="false"/>
                <w:color w:val="000000"/>
                <w:sz w:val="13"/>
              </w:rPr>
              <w:t>(1)</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r>
      <w:tr>
        <w:trPr/>
        <w:tc>
          <w:tcPr>
            <w:tcW w:w="43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4378"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reclassifications for the period attributable to the Company’s stockholders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of tax</w:t>
            </w:r>
          </w:p>
        </w:tc>
      </w:tr>
    </w:tbl>
    <w:p>
      <w:pPr>
        <w:pStyle w:val="TextBody"/>
        <w:bidi w:val="0"/>
        <w:spacing w:lineRule="auto" w:line="26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These items are included in the computation of net periodic pension cost, as described in Note 26.</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14.Short-Term Deposits and Marketable Securities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To optimize the return yield on its short-term investments, the Company invested $1,800 million of available cash in short-term deposits as of June 27, 2026 compared to $1,100 million as of December 31,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also invested available liquidity in marketable securities. As of June 27, 2026, the Company held $1,136 million in debt securities classified as available-for-sale. Detailed movements on marketable securities balance sheet position are presented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4"/>
        <w:gridCol w:w="521"/>
        <w:gridCol w:w="523"/>
        <w:gridCol w:w="109"/>
        <w:gridCol w:w="109"/>
        <w:gridCol w:w="109"/>
        <w:gridCol w:w="326"/>
        <w:gridCol w:w="326"/>
        <w:gridCol w:w="327"/>
        <w:gridCol w:w="109"/>
        <w:gridCol w:w="109"/>
        <w:gridCol w:w="109"/>
        <w:gridCol w:w="255"/>
        <w:gridCol w:w="255"/>
        <w:gridCol w:w="256"/>
        <w:gridCol w:w="109"/>
        <w:gridCol w:w="109"/>
        <w:gridCol w:w="109"/>
        <w:gridCol w:w="270"/>
        <w:gridCol w:w="270"/>
        <w:gridCol w:w="271"/>
        <w:gridCol w:w="109"/>
        <w:gridCol w:w="109"/>
        <w:gridCol w:w="109"/>
        <w:gridCol w:w="395"/>
        <w:gridCol w:w="395"/>
        <w:gridCol w:w="396"/>
        <w:gridCol w:w="109"/>
        <w:gridCol w:w="109"/>
        <w:gridCol w:w="109"/>
        <w:gridCol w:w="715"/>
        <w:gridCol w:w="715"/>
        <w:gridCol w:w="717"/>
        <w:gridCol w:w="109"/>
        <w:gridCol w:w="109"/>
        <w:gridCol w:w="109"/>
        <w:gridCol w:w="236"/>
        <w:gridCol w:w="201"/>
        <w:gridCol w:w="279"/>
      </w:tblGrid>
      <w:tr>
        <w:trPr/>
        <w:tc>
          <w:tcPr>
            <w:tcW w:w="59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Accretion</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Proceeds at maturity</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in fair value included</w:t>
              <w:br/>
              <w:t>in Other Comprehensive Income (“OCI”)</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r>
      <w:tr>
        <w:trPr/>
        <w:tc>
          <w:tcPr>
            <w:tcW w:w="1638"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985</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1,136</w:t>
            </w:r>
          </w:p>
        </w:tc>
      </w:tr>
      <w:tr>
        <w:trPr/>
        <w:tc>
          <w:tcPr>
            <w:tcW w:w="163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985</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299</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1,136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debt securities totaled $1,136 million and have a rating of Aaa/AA+/AA+ from Moody’s, S&amp;P and Fitch, respectively, with a weighted average maturity of 3.17 years. The debt securities are reported as current assets on the line “Marketable securities” on the consolidated balance sheet as of June 27, 2026, since they represent investments of funds available for current operations. The bonds are classified as available-for-sale financial assets and recorded at fair value as of June 27, 2026. The fair value measurement corresponds to a Level 1 fair value hierarchy measurement. The aggregate amortized cost basis of these securities totaled $1,137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Marketable securities totaling $650 million at principal amount were transferred to financial institutions as part of short-term securities lending transactions, in compliance with corporate policies. The Company, acting as the securities lender, does not hold any collateral in these unsecured securities lending transactions. The Company retains effective control on the transferred securities.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below table details debt securities that were in an unrealized loss position for less than twelve months and more than twelve months as of June 27, 2026:</w:t>
      </w:r>
    </w:p>
    <w:tbl>
      <w:tblPr>
        <w:tblW w:w="8272" w:type="dxa"/>
        <w:jc w:val="left"/>
        <w:tblInd w:w="0" w:type="dxa"/>
        <w:tblLayout w:type="fixed"/>
        <w:tblCellMar>
          <w:top w:w="28" w:type="dxa"/>
          <w:left w:w="28" w:type="dxa"/>
          <w:bottom w:w="28" w:type="dxa"/>
          <w:right w:w="28" w:type="dxa"/>
        </w:tblCellMar>
      </w:tblPr>
      <w:tblGrid>
        <w:gridCol w:w="874"/>
        <w:gridCol w:w="768"/>
        <w:gridCol w:w="772"/>
        <w:gridCol w:w="315"/>
        <w:gridCol w:w="315"/>
        <w:gridCol w:w="315"/>
        <w:gridCol w:w="329"/>
        <w:gridCol w:w="329"/>
        <w:gridCol w:w="333"/>
        <w:gridCol w:w="317"/>
        <w:gridCol w:w="317"/>
        <w:gridCol w:w="317"/>
        <w:gridCol w:w="329"/>
        <w:gridCol w:w="329"/>
        <w:gridCol w:w="333"/>
        <w:gridCol w:w="314"/>
        <w:gridCol w:w="314"/>
        <w:gridCol w:w="316"/>
        <w:gridCol w:w="303"/>
        <w:gridCol w:w="303"/>
        <w:gridCol w:w="430"/>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27, </w:t>
              <w:br/>
              <w:t>2026</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194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198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9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Losses</w:t>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Losses</w:t>
            </w:r>
          </w:p>
        </w:tc>
        <w:tc>
          <w:tcPr>
            <w:tcW w:w="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Losses</w:t>
            </w:r>
          </w:p>
        </w:tc>
      </w:tr>
      <w:tr>
        <w:trPr/>
        <w:tc>
          <w:tcPr>
            <w:tcW w:w="24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9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w:t>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9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w:t>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41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4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96</w:t>
            </w:r>
          </w:p>
        </w:tc>
        <w:tc>
          <w:tcPr>
            <w:tcW w:w="9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230</w:t>
            </w:r>
          </w:p>
        </w:tc>
        <w:tc>
          <w:tcPr>
            <w:tcW w:w="9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94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326</w:t>
            </w:r>
          </w:p>
        </w:tc>
        <w:tc>
          <w:tcPr>
            <w:tcW w:w="103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Debt securities that were in an unrealized gain position as of June 27, 2026, were reported at a fair value of $810 million with an unrealized gain of $3 million.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marketable securities that were in an unrealized loss position as of June 27, 2026, the Company does not intend to sell the investments and it is not more likely than not that the Company will be required to sell the investments before recovery of the amortized cost basis.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below table details debt securities that were in an unrealized loss position for less than twelve months or more than twelve months as of December 31, 2025:</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tbl>
      <w:tblPr>
        <w:tblW w:w="8272" w:type="dxa"/>
        <w:jc w:val="left"/>
        <w:tblInd w:w="0" w:type="dxa"/>
        <w:tblLayout w:type="fixed"/>
        <w:tblCellMar>
          <w:top w:w="28" w:type="dxa"/>
          <w:left w:w="28" w:type="dxa"/>
          <w:bottom w:w="28" w:type="dxa"/>
          <w:right w:w="28" w:type="dxa"/>
        </w:tblCellMar>
      </w:tblPr>
      <w:tblGrid>
        <w:gridCol w:w="874"/>
        <w:gridCol w:w="768"/>
        <w:gridCol w:w="772"/>
        <w:gridCol w:w="315"/>
        <w:gridCol w:w="315"/>
        <w:gridCol w:w="315"/>
        <w:gridCol w:w="329"/>
        <w:gridCol w:w="329"/>
        <w:gridCol w:w="333"/>
        <w:gridCol w:w="317"/>
        <w:gridCol w:w="317"/>
        <w:gridCol w:w="317"/>
        <w:gridCol w:w="329"/>
        <w:gridCol w:w="329"/>
        <w:gridCol w:w="333"/>
        <w:gridCol w:w="314"/>
        <w:gridCol w:w="314"/>
        <w:gridCol w:w="316"/>
        <w:gridCol w:w="303"/>
        <w:gridCol w:w="303"/>
        <w:gridCol w:w="430"/>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194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More than 12 months</w:t>
            </w:r>
          </w:p>
        </w:tc>
        <w:tc>
          <w:tcPr>
            <w:tcW w:w="198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9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Losses</w:t>
            </w:r>
          </w:p>
        </w:tc>
        <w:tc>
          <w:tcPr>
            <w:tcW w:w="9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Losses</w:t>
            </w:r>
          </w:p>
        </w:tc>
        <w:tc>
          <w:tcPr>
            <w:tcW w:w="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Losses</w:t>
            </w:r>
          </w:p>
        </w:tc>
      </w:tr>
      <w:tr>
        <w:trPr/>
        <w:tc>
          <w:tcPr>
            <w:tcW w:w="24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9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41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4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229</w:t>
            </w:r>
          </w:p>
        </w:tc>
        <w:tc>
          <w:tcPr>
            <w:tcW w:w="9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94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229</w:t>
            </w:r>
          </w:p>
        </w:tc>
        <w:tc>
          <w:tcPr>
            <w:tcW w:w="103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Debt securities that were in an unrealized gain position as of December 31, 2025, were reported at a fair value of $756 million with an unrealized gain of $8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15.Trade Accounts Receivable, Net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Trade accounts receivable, net consists of the following:</w:t>
      </w:r>
    </w:p>
    <w:tbl>
      <w:tblPr>
        <w:tblW w:w="5978" w:type="dxa"/>
        <w:jc w:val="left"/>
        <w:tblInd w:w="0" w:type="dxa"/>
        <w:tblLayout w:type="fixed"/>
        <w:tblCellMar>
          <w:top w:w="28" w:type="dxa"/>
          <w:left w:w="28" w:type="dxa"/>
          <w:bottom w:w="28" w:type="dxa"/>
          <w:right w:w="28" w:type="dxa"/>
        </w:tblCellMar>
      </w:tblPr>
      <w:tblGrid>
        <w:gridCol w:w="1238"/>
        <w:gridCol w:w="1088"/>
        <w:gridCol w:w="1093"/>
        <w:gridCol w:w="109"/>
        <w:gridCol w:w="109"/>
        <w:gridCol w:w="109"/>
        <w:gridCol w:w="240"/>
        <w:gridCol w:w="240"/>
        <w:gridCol w:w="240"/>
        <w:gridCol w:w="109"/>
        <w:gridCol w:w="109"/>
        <w:gridCol w:w="109"/>
        <w:gridCol w:w="347"/>
        <w:gridCol w:w="347"/>
        <w:gridCol w:w="491"/>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1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4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2,091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1,767</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expected credit losses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41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2,067</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1,745</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a lifetime expected credit losses allowance for all trade receivables based on failure rates, as applied to the gross amounts of trade accounts receivable. The allowance also includes reasonable assumption about future credit trends. The historical loss rates are adjusted to reflect current and forward-looking information on macroeconomic factors affecting the ability of the Company’s customers to settle the receivables. In addition to the factors already embedded in the failure rates, as applied to trade accounts receivable, the Company has identified cyclicality and uncertainties around continued growth for the semiconductor industry and its serviceable available market to be the most relevant factors. These macroeconomic factors are weighted into different economic scenarios, in line with estimates and methodologies applied by other business entities, including financial institutions.</w:t>
        <w:br/>
        <w:br/>
        <w:t>On that basis, there was no significant change in reported current expected credit losses allowance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Adjustments to the expected credit losses allowance, if any, are reported in the line “Selling, general and administrative expenses” in the consolidated statements of income. The Company did not report any other significant changes to the expected credit losses allowance during the first six months of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16.Inventories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consists of the following: </w:t>
      </w:r>
    </w:p>
    <w:tbl>
      <w:tblPr>
        <w:tblW w:w="4179" w:type="dxa"/>
        <w:jc w:val="left"/>
        <w:tblInd w:w="0" w:type="dxa"/>
        <w:tblLayout w:type="fixed"/>
        <w:tblCellMar>
          <w:top w:w="28" w:type="dxa"/>
          <w:left w:w="28" w:type="dxa"/>
          <w:bottom w:w="28" w:type="dxa"/>
          <w:right w:w="28" w:type="dxa"/>
        </w:tblCellMar>
      </w:tblPr>
      <w:tblGrid>
        <w:gridCol w:w="570"/>
        <w:gridCol w:w="500"/>
        <w:gridCol w:w="505"/>
        <w:gridCol w:w="109"/>
        <w:gridCol w:w="109"/>
        <w:gridCol w:w="109"/>
        <w:gridCol w:w="255"/>
        <w:gridCol w:w="255"/>
        <w:gridCol w:w="255"/>
        <w:gridCol w:w="109"/>
        <w:gridCol w:w="109"/>
        <w:gridCol w:w="109"/>
        <w:gridCol w:w="347"/>
        <w:gridCol w:w="347"/>
        <w:gridCol w:w="49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57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15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1,846</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872</w:t>
            </w:r>
          </w:p>
        </w:tc>
      </w:tr>
      <w:tr>
        <w:trPr/>
        <w:tc>
          <w:tcPr>
            <w:tcW w:w="157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3,188</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3,136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described in Note 7, the acquisition of the MEMS sensor business from NXP resulted in the recognition of $74 million in inventories ($56 million in work-in-progress and $18 million in finished goods). The fair value of acquired inventory included $24 million step-up, fully recognized as cost of sales in the consolidated statement of income for the six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17.Other Current Assets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consists of the following:</w:t>
      </w:r>
    </w:p>
    <w:tbl>
      <w:tblPr>
        <w:tblW w:w="5949" w:type="dxa"/>
        <w:jc w:val="left"/>
        <w:tblInd w:w="0" w:type="dxa"/>
        <w:tblLayout w:type="fixed"/>
        <w:tblCellMar>
          <w:top w:w="28" w:type="dxa"/>
          <w:left w:w="28" w:type="dxa"/>
          <w:bottom w:w="28" w:type="dxa"/>
          <w:right w:w="28" w:type="dxa"/>
        </w:tblCellMar>
      </w:tblPr>
      <w:tblGrid>
        <w:gridCol w:w="1227"/>
        <w:gridCol w:w="1080"/>
        <w:gridCol w:w="1083"/>
        <w:gridCol w:w="109"/>
        <w:gridCol w:w="109"/>
        <w:gridCol w:w="109"/>
        <w:gridCol w:w="240"/>
        <w:gridCol w:w="240"/>
        <w:gridCol w:w="240"/>
        <w:gridCol w:w="109"/>
        <w:gridCol w:w="109"/>
        <w:gridCol w:w="109"/>
        <w:gridCol w:w="347"/>
        <w:gridCol w:w="347"/>
        <w:gridCol w:w="491"/>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funding receivables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678</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other government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and prepayments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(Note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339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1,410</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1,468</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public funding programs in several jurisdictions associated with research, development, innovation and other first industrialization deployment activities. Public funding receivables for which collection is expected within twelve months totaled $513 million and $678 million as of June 27, 2026 and December 31, 2025,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Taxes and other government receivables mainly include receivables related to value-added tax, primarily in European tax jurisdictions.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Advances and prepayments include prepaid amounts associated with multi-annual supply and service agreements.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applies a current expected credit losses model on all financial assets measured at amortized cost, including deposits, loans and receivables. The major portion of other current assets to which this model applies corresponds to government receivables. Due to the existing history of zero-default on receivables originated by governments, the expected credit losses are assumed to be not significant as of June 27, 2026 and December 31, 2025. Other current assets presented in the table above within the lines “Loans and deposits” and “Other current assets” are composed of amounts not deemed at exposure of default. Consequently, no loss allowance was reported on those current assets as of June 27,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18.Goodwill</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allocated to the reportable segments and changes in the carrying amount of goodwill were as follows:</w:t>
      </w:r>
    </w:p>
    <w:tbl>
      <w:tblPr>
        <w:tblW w:w="7246" w:type="dxa"/>
        <w:jc w:val="left"/>
        <w:tblInd w:w="0" w:type="dxa"/>
        <w:tblLayout w:type="fixed"/>
        <w:tblCellMar>
          <w:top w:w="28" w:type="dxa"/>
          <w:left w:w="28" w:type="dxa"/>
          <w:bottom w:w="28" w:type="dxa"/>
          <w:right w:w="28" w:type="dxa"/>
        </w:tblCellMar>
      </w:tblPr>
      <w:tblGrid>
        <w:gridCol w:w="1069"/>
        <w:gridCol w:w="941"/>
        <w:gridCol w:w="945"/>
        <w:gridCol w:w="109"/>
        <w:gridCol w:w="109"/>
        <w:gridCol w:w="109"/>
        <w:gridCol w:w="199"/>
        <w:gridCol w:w="199"/>
        <w:gridCol w:w="201"/>
        <w:gridCol w:w="109"/>
        <w:gridCol w:w="109"/>
        <w:gridCol w:w="109"/>
        <w:gridCol w:w="154"/>
        <w:gridCol w:w="154"/>
        <w:gridCol w:w="156"/>
        <w:gridCol w:w="109"/>
        <w:gridCol w:w="109"/>
        <w:gridCol w:w="109"/>
        <w:gridCol w:w="155"/>
        <w:gridCol w:w="155"/>
        <w:gridCol w:w="156"/>
        <w:gridCol w:w="109"/>
        <w:gridCol w:w="109"/>
        <w:gridCol w:w="109"/>
        <w:gridCol w:w="195"/>
        <w:gridCol w:w="195"/>
        <w:gridCol w:w="196"/>
        <w:gridCol w:w="109"/>
        <w:gridCol w:w="109"/>
        <w:gridCol w:w="109"/>
        <w:gridCol w:w="158"/>
        <w:gridCol w:w="158"/>
        <w:gridCol w:w="225"/>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AM&amp;S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P&amp;D</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RFOC</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MEMS sensor business acquisition</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95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398</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78</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119</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110</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705</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described in Note 7, the acquisition of the MEMS sensor business from NXP resulted in the recognition of $396 million goodwill, fully allocated to the AM&amp;S reportable segment, since the main components of goodwill are expected to contribute to AM&amp;S activities and corresponding lines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19.Other Intangible Assets, net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are detailed below:</w:t>
      </w:r>
    </w:p>
    <w:tbl>
      <w:tblPr>
        <w:tblW w:w="7684" w:type="dxa"/>
        <w:jc w:val="left"/>
        <w:tblInd w:w="0" w:type="dxa"/>
        <w:tblLayout w:type="fixed"/>
        <w:tblCellMar>
          <w:top w:w="28" w:type="dxa"/>
          <w:left w:w="28" w:type="dxa"/>
          <w:bottom w:w="28" w:type="dxa"/>
          <w:right w:w="28" w:type="dxa"/>
        </w:tblCellMar>
      </w:tblPr>
      <w:tblGrid>
        <w:gridCol w:w="1301"/>
        <w:gridCol w:w="1142"/>
        <w:gridCol w:w="1156"/>
        <w:gridCol w:w="109"/>
        <w:gridCol w:w="109"/>
        <w:gridCol w:w="109"/>
        <w:gridCol w:w="329"/>
        <w:gridCol w:w="329"/>
        <w:gridCol w:w="331"/>
        <w:gridCol w:w="109"/>
        <w:gridCol w:w="109"/>
        <w:gridCol w:w="109"/>
        <w:gridCol w:w="360"/>
        <w:gridCol w:w="360"/>
        <w:gridCol w:w="361"/>
        <w:gridCol w:w="109"/>
        <w:gridCol w:w="109"/>
        <w:gridCol w:w="109"/>
        <w:gridCol w:w="302"/>
        <w:gridCol w:w="302"/>
        <w:gridCol w:w="430"/>
      </w:tblGrid>
      <w:tr>
        <w:trPr/>
        <w:tc>
          <w:tcPr>
            <w:tcW w:w="13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Gross Value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Net Amount</w:t>
            </w:r>
          </w:p>
        </w:tc>
      </w:tr>
      <w:tr>
        <w:trPr/>
        <w:tc>
          <w:tcPr>
            <w:tcW w:w="3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Technologies &amp; licenses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&amp; 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1,757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(1,010)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747</w:t>
            </w:r>
          </w:p>
        </w:tc>
      </w:tr>
      <w:tr>
        <w:trPr/>
        <w:tc>
          <w:tcPr>
            <w:tcW w:w="35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Net Amount</w:t>
            </w:r>
          </w:p>
        </w:tc>
      </w:tr>
      <w:tr>
        <w:trPr/>
        <w:tc>
          <w:tcPr>
            <w:tcW w:w="3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Technologies &amp; licenses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&amp; 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5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1,320</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324</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line “Intangibles in progress” in the table above also includes internally developed software under construction and software not ready for their intended use.</w:t>
      </w:r>
    </w:p>
    <w:p>
      <w:pPr>
        <w:pStyle w:val="TextBody"/>
        <w:bidi w:val="0"/>
        <w:spacing w:lineRule="auto" w:line="268" w:before="0" w:after="240"/>
        <w:jc w:val="both"/>
        <w:rPr/>
      </w:pPr>
      <w:r>
        <w:rPr>
          <w:rFonts w:ascii="Times New Roman;serif" w:hAnsi="Times New Roman;serif"/>
          <w:b w:val="false"/>
          <w:color w:val="000000"/>
          <w:sz w:val="20"/>
        </w:rPr>
        <w:t>Amortization expense related to intangible assets subject to amortization was $61</w:t>
      </w:r>
      <w:r>
        <w:rPr>
          <w:color w:val="000000"/>
          <w:shd w:fill="FFFFFF" w:val="clear"/>
        </w:rPr>
        <w:t xml:space="preserve"> </w:t>
      </w:r>
      <w:r>
        <w:rPr>
          <w:rFonts w:ascii="Times New Roman;serif" w:hAnsi="Times New Roman;serif"/>
          <w:b w:val="false"/>
          <w:color w:val="000000"/>
          <w:sz w:val="20"/>
          <w:shd w:fill="FFFFFF" w:val="clear"/>
        </w:rPr>
        <w:t xml:space="preserve">million and $49 million </w:t>
      </w:r>
      <w:r>
        <w:rPr>
          <w:rFonts w:ascii="Times New Roman;serif" w:hAnsi="Times New Roman;serif"/>
          <w:b w:val="false"/>
          <w:color w:val="000000"/>
          <w:sz w:val="20"/>
        </w:rPr>
        <w:t>for the first six months of 2026 and 2025,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related to intangible assets as of June 27, 2026, is as follows:</w:t>
      </w:r>
    </w:p>
    <w:tbl>
      <w:tblPr>
        <w:tblW w:w="2473" w:type="dxa"/>
        <w:jc w:val="left"/>
        <w:tblInd w:w="0" w:type="dxa"/>
        <w:tblLayout w:type="fixed"/>
        <w:tblCellMar>
          <w:top w:w="28" w:type="dxa"/>
          <w:left w:w="28" w:type="dxa"/>
          <w:bottom w:w="28" w:type="dxa"/>
          <w:right w:w="28" w:type="dxa"/>
        </w:tblCellMar>
      </w:tblPr>
      <w:tblGrid>
        <w:gridCol w:w="608"/>
        <w:gridCol w:w="533"/>
        <w:gridCol w:w="539"/>
        <w:gridCol w:w="109"/>
        <w:gridCol w:w="109"/>
        <w:gridCol w:w="109"/>
        <w:gridCol w:w="136"/>
        <w:gridCol w:w="136"/>
        <w:gridCol w:w="19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r>
      <w:tr>
        <w:trPr/>
        <w:tc>
          <w:tcPr>
            <w:tcW w:w="168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747</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described in Note 7, the acquisition of the MEMS sensor business from NXP resulted in the recognition of $437 million in intangible assets, excluding goodwill ($165 million in technologies &amp; licenses, $265 million in customer relationships and $7 million in other intangible assets) depreciated over 14 years, 17 years and 6 years respectively. The corresponding amortization expense totaled $12 million, of which $1 million recorded on the line cost of sales, $5 million recorded on the line research and development expenses and $6 million on the line selling, general and administrative expenses, of the consolidated statement of income for the first six months ended June 27, 2026.</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20.Property, Plant and Equipment, net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are detailed below:</w:t>
      </w:r>
    </w:p>
    <w:tbl>
      <w:tblPr>
        <w:tblW w:w="7144" w:type="dxa"/>
        <w:jc w:val="left"/>
        <w:tblInd w:w="0" w:type="dxa"/>
        <w:tblLayout w:type="fixed"/>
        <w:tblCellMar>
          <w:top w:w="28" w:type="dxa"/>
          <w:left w:w="28" w:type="dxa"/>
          <w:bottom w:w="28" w:type="dxa"/>
          <w:right w:w="28" w:type="dxa"/>
        </w:tblCellMar>
      </w:tblPr>
      <w:tblGrid>
        <w:gridCol w:w="1117"/>
        <w:gridCol w:w="980"/>
        <w:gridCol w:w="992"/>
        <w:gridCol w:w="109"/>
        <w:gridCol w:w="109"/>
        <w:gridCol w:w="109"/>
        <w:gridCol w:w="329"/>
        <w:gridCol w:w="329"/>
        <w:gridCol w:w="331"/>
        <w:gridCol w:w="109"/>
        <w:gridCol w:w="109"/>
        <w:gridCol w:w="109"/>
        <w:gridCol w:w="350"/>
        <w:gridCol w:w="350"/>
        <w:gridCol w:w="351"/>
        <w:gridCol w:w="109"/>
        <w:gridCol w:w="109"/>
        <w:gridCol w:w="109"/>
        <w:gridCol w:w="302"/>
        <w:gridCol w:w="302"/>
        <w:gridCol w:w="430"/>
      </w:tblGrid>
      <w:tr>
        <w:trPr/>
        <w:tc>
          <w:tcPr>
            <w:tcW w:w="111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0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6,380</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R&amp;D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r>
      <w:tr>
        <w:trPr/>
        <w:tc>
          <w:tcPr>
            <w:tcW w:w="30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34,051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(23,156)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10,895</w:t>
            </w:r>
          </w:p>
        </w:tc>
      </w:tr>
      <w:tr>
        <w:trPr/>
        <w:tc>
          <w:tcPr>
            <w:tcW w:w="30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0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5,989</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R&amp;D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r>
      <w:tr>
        <w:trPr/>
        <w:tc>
          <w:tcPr>
            <w:tcW w:w="308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33,987</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(22,929)</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11,058</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line “Construction in progress” in the table above includes property, plant and equipment under construction, and equipment under qualification that are not ready for their intended use. In the second quarter of 2026, the Company started its 200mm silicon carbide manufacturing operations in Catania, Italy and Sanan ST joint venture in Chongqing, China. Consequently, a total amount of $1,215 million was reclassified from the line "Construction in progress" to the relevant categories of property, plant and equipment.</w:t>
      </w:r>
    </w:p>
    <w:p>
      <w:pPr>
        <w:pStyle w:val="TextBody"/>
        <w:bidi w:val="0"/>
        <w:spacing w:lineRule="auto" w:line="268" w:before="0" w:after="240"/>
        <w:jc w:val="both"/>
        <w:rPr/>
      </w:pPr>
      <w:r>
        <w:rPr>
          <w:rFonts w:ascii="Times New Roman;serif" w:hAnsi="Times New Roman;serif"/>
          <w:b w:val="false"/>
          <w:color w:val="000000"/>
          <w:sz w:val="20"/>
        </w:rPr>
        <w:t xml:space="preserve">The depreciation charge was </w:t>
      </w:r>
      <w:r>
        <w:rPr>
          <w:rFonts w:ascii="Times New Roman;serif" w:hAnsi="Times New Roman;serif"/>
          <w:b w:val="false"/>
          <w:color w:val="000000"/>
          <w:sz w:val="20"/>
          <w:shd w:fill="FFFFFF" w:val="clear"/>
        </w:rPr>
        <w:t>$</w:t>
      </w:r>
      <w:r>
        <w:rPr>
          <w:rFonts w:ascii="Times New Roman;serif" w:hAnsi="Times New Roman;serif"/>
          <w:b w:val="false"/>
          <w:color w:val="000000"/>
          <w:sz w:val="20"/>
        </w:rPr>
        <w:t>885</w:t>
      </w:r>
      <w:r>
        <w:rPr>
          <w:color w:val="000000"/>
          <w:shd w:fill="FFFFFF" w:val="clear"/>
        </w:rPr>
        <w:t xml:space="preserve"> </w:t>
      </w:r>
      <w:r>
        <w:rPr>
          <w:rFonts w:ascii="Times New Roman;serif" w:hAnsi="Times New Roman;serif"/>
          <w:b w:val="false"/>
          <w:color w:val="000000"/>
          <w:sz w:val="20"/>
          <w:shd w:fill="FFFFFF" w:val="clear"/>
        </w:rPr>
        <w:t xml:space="preserve">million and $843 million </w:t>
      </w:r>
      <w:r>
        <w:rPr>
          <w:rFonts w:ascii="Times New Roman;serif" w:hAnsi="Times New Roman;serif"/>
          <w:b w:val="false"/>
          <w:color w:val="000000"/>
          <w:sz w:val="20"/>
        </w:rPr>
        <w:t>for the first six months of 2026 and 2025,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2023, the Company and Sanan Optoelectronics jointly created Sanan ST JV for high-volume 200mm SiC device manufacturing in China. The entity has been identified as a Variable Interest Entity ("VIE") for which the Company is the primary beneficiary. As such, it was fully consolidated as of June 27, 2026 and December 31, 2025, as further described in Note 22. As of June 27, 2026 and December 31, 2025, a total amount of $479 million and $433 million respectively, was included on the line "Property, plant and equipment, net" of the consolidated balance sheet from the VIE's consolidation.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7, the acquisition of the MEMS sensor business from NXP resulted in the recognition of $30 million in property, plant and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21.Leases</w:t>
      </w:r>
    </w:p>
    <w:p>
      <w:pPr>
        <w:pStyle w:val="TextBody"/>
        <w:bidi w:val="0"/>
        <w:spacing w:lineRule="auto" w:line="268" w:before="0" w:after="240"/>
        <w:jc w:val="both"/>
        <w:rPr/>
      </w:pPr>
      <w:r>
        <w:rPr>
          <w:rFonts w:ascii="Times New Roman;serif" w:hAnsi="Times New Roman;serif"/>
          <w:b w:val="false"/>
          <w:color w:val="000000"/>
          <w:sz w:val="20"/>
        </w:rPr>
        <w:t>The Company leases land, buildings, cars and certain equipment (including IT equipment) which have remaining lease terms between</w:t>
      </w:r>
      <w:r>
        <w:rPr>
          <w:color w:val="000000"/>
          <w:shd w:fill="FFFFFF" w:val="clear"/>
        </w:rPr>
        <w:t xml:space="preserve"> </w:t>
      </w:r>
      <w:r>
        <w:rPr>
          <w:rFonts w:ascii="Times New Roman;serif" w:hAnsi="Times New Roman;serif"/>
          <w:b w:val="false"/>
          <w:color w:val="000000"/>
          <w:sz w:val="20"/>
          <w:shd w:fill="FFFFFF" w:val="clear"/>
        </w:rPr>
        <w:t>less than one year and 64 years.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and finance leases consist of the following:</w:t>
      </w:r>
    </w:p>
    <w:tbl>
      <w:tblPr>
        <w:tblW w:w="4733" w:type="dxa"/>
        <w:jc w:val="left"/>
        <w:tblInd w:w="0" w:type="dxa"/>
        <w:tblLayout w:type="fixed"/>
        <w:tblCellMar>
          <w:top w:w="28" w:type="dxa"/>
          <w:left w:w="28" w:type="dxa"/>
          <w:bottom w:w="28" w:type="dxa"/>
          <w:right w:w="28" w:type="dxa"/>
        </w:tblCellMar>
      </w:tblPr>
      <w:tblGrid>
        <w:gridCol w:w="771"/>
        <w:gridCol w:w="678"/>
        <w:gridCol w:w="680"/>
        <w:gridCol w:w="109"/>
        <w:gridCol w:w="109"/>
        <w:gridCol w:w="109"/>
        <w:gridCol w:w="255"/>
        <w:gridCol w:w="255"/>
        <w:gridCol w:w="255"/>
        <w:gridCol w:w="109"/>
        <w:gridCol w:w="109"/>
        <w:gridCol w:w="109"/>
        <w:gridCol w:w="347"/>
        <w:gridCol w:w="347"/>
        <w:gridCol w:w="491"/>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12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21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21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right-of-use assets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347</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1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21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212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324</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Lease liability maturities as of June 27, 2026 are as follows (in millions):</w:t>
      </w:r>
    </w:p>
    <w:tbl>
      <w:tblPr>
        <w:tblW w:w="6830" w:type="dxa"/>
        <w:jc w:val="left"/>
        <w:tblInd w:w="0" w:type="dxa"/>
        <w:tblLayout w:type="fixed"/>
        <w:tblCellMar>
          <w:top w:w="28" w:type="dxa"/>
          <w:left w:w="28" w:type="dxa"/>
          <w:bottom w:w="28" w:type="dxa"/>
          <w:right w:w="28" w:type="dxa"/>
        </w:tblCellMar>
      </w:tblPr>
      <w:tblGrid>
        <w:gridCol w:w="1252"/>
        <w:gridCol w:w="1098"/>
        <w:gridCol w:w="1114"/>
        <w:gridCol w:w="109"/>
        <w:gridCol w:w="109"/>
        <w:gridCol w:w="109"/>
        <w:gridCol w:w="299"/>
        <w:gridCol w:w="299"/>
        <w:gridCol w:w="301"/>
        <w:gridCol w:w="109"/>
        <w:gridCol w:w="109"/>
        <w:gridCol w:w="109"/>
        <w:gridCol w:w="225"/>
        <w:gridCol w:w="225"/>
        <w:gridCol w:w="226"/>
        <w:gridCol w:w="109"/>
        <w:gridCol w:w="109"/>
        <w:gridCol w:w="109"/>
        <w:gridCol w:w="236"/>
        <w:gridCol w:w="236"/>
        <w:gridCol w:w="338"/>
      </w:tblGrid>
      <w:tr>
        <w:trPr/>
        <w:tc>
          <w:tcPr>
            <w:tcW w:w="125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br/>
              <w:t>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r>
      <w:tr>
        <w:trPr/>
        <w:tc>
          <w:tcPr>
            <w:tcW w:w="34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34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future undiscounted cash outflows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368</w:t>
            </w:r>
          </w:p>
        </w:tc>
      </w:tr>
      <w:tr>
        <w:trPr/>
        <w:tc>
          <w:tcPr>
            <w:tcW w:w="34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discounting</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46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207</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and finance lease terms and discount rates are as follows:</w:t>
      </w:r>
    </w:p>
    <w:tbl>
      <w:tblPr>
        <w:tblW w:w="8214" w:type="dxa"/>
        <w:jc w:val="left"/>
        <w:tblInd w:w="0" w:type="dxa"/>
        <w:tblLayout w:type="fixed"/>
        <w:tblCellMar>
          <w:top w:w="28" w:type="dxa"/>
          <w:left w:w="28" w:type="dxa"/>
          <w:bottom w:w="28" w:type="dxa"/>
          <w:right w:w="28" w:type="dxa"/>
        </w:tblCellMar>
      </w:tblPr>
      <w:tblGrid>
        <w:gridCol w:w="2028"/>
        <w:gridCol w:w="1785"/>
        <w:gridCol w:w="1797"/>
        <w:gridCol w:w="109"/>
        <w:gridCol w:w="109"/>
        <w:gridCol w:w="109"/>
        <w:gridCol w:w="255"/>
        <w:gridCol w:w="255"/>
        <w:gridCol w:w="255"/>
        <w:gridCol w:w="109"/>
        <w:gridCol w:w="109"/>
        <w:gridCol w:w="109"/>
        <w:gridCol w:w="347"/>
        <w:gridCol w:w="347"/>
        <w:gridCol w:w="491"/>
      </w:tblGrid>
      <w:tr>
        <w:trPr/>
        <w:tc>
          <w:tcPr>
            <w:tcW w:w="202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56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 – operating leases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5.93</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r>
      <w:tr>
        <w:trPr/>
        <w:tc>
          <w:tcPr>
            <w:tcW w:w="561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finance lease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and finance lease cost and cash paid are as follows:</w:t>
      </w:r>
    </w:p>
    <w:tbl>
      <w:tblPr>
        <w:tblW w:w="5444"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54"/>
        <w:gridCol w:w="254"/>
        <w:gridCol w:w="256"/>
        <w:gridCol w:w="151"/>
        <w:gridCol w:w="151"/>
        <w:gridCol w:w="151"/>
        <w:gridCol w:w="237"/>
        <w:gridCol w:w="237"/>
        <w:gridCol w:w="336"/>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9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cash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w:t>
            </w:r>
          </w:p>
        </w:tc>
      </w:tr>
    </w:tbl>
    <w:p>
      <w:pPr>
        <w:pStyle w:val="TextBody"/>
        <w:bidi w:val="0"/>
        <w:spacing w:before="0" w:after="0"/>
        <w:jc w:val="both"/>
        <w:rPr/>
      </w:pPr>
      <w:r>
        <w:rPr/>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Non-cash transactions corresponding to right-of-use assets obtained in exchange for new operating and finance lease liabilities in the first six months of 2026 and 2025 are as follows:</w:t>
      </w:r>
    </w:p>
    <w:tbl>
      <w:tblPr>
        <w:tblW w:w="3809" w:type="dxa"/>
        <w:jc w:val="left"/>
        <w:tblInd w:w="0" w:type="dxa"/>
        <w:tblLayout w:type="fixed"/>
        <w:tblCellMar>
          <w:top w:w="28" w:type="dxa"/>
          <w:left w:w="28" w:type="dxa"/>
          <w:bottom w:w="28" w:type="dxa"/>
          <w:right w:w="28" w:type="dxa"/>
        </w:tblCellMar>
      </w:tblPr>
      <w:tblGrid>
        <w:gridCol w:w="527"/>
        <w:gridCol w:w="462"/>
        <w:gridCol w:w="466"/>
        <w:gridCol w:w="109"/>
        <w:gridCol w:w="109"/>
        <w:gridCol w:w="109"/>
        <w:gridCol w:w="254"/>
        <w:gridCol w:w="254"/>
        <w:gridCol w:w="256"/>
        <w:gridCol w:w="151"/>
        <w:gridCol w:w="151"/>
        <w:gridCol w:w="151"/>
        <w:gridCol w:w="237"/>
        <w:gridCol w:w="237"/>
        <w:gridCol w:w="336"/>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14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22.Long-Term Investments and Variable Interest Entities</w:t>
      </w:r>
    </w:p>
    <w:tbl>
      <w:tblPr>
        <w:tblW w:w="5034" w:type="dxa"/>
        <w:jc w:val="left"/>
        <w:tblInd w:w="0" w:type="dxa"/>
        <w:tblLayout w:type="fixed"/>
        <w:tblCellMar>
          <w:top w:w="28" w:type="dxa"/>
          <w:left w:w="28" w:type="dxa"/>
          <w:bottom w:w="28" w:type="dxa"/>
          <w:right w:w="28" w:type="dxa"/>
        </w:tblCellMar>
      </w:tblPr>
      <w:tblGrid>
        <w:gridCol w:w="880"/>
        <w:gridCol w:w="774"/>
        <w:gridCol w:w="776"/>
        <w:gridCol w:w="109"/>
        <w:gridCol w:w="109"/>
        <w:gridCol w:w="109"/>
        <w:gridCol w:w="255"/>
        <w:gridCol w:w="255"/>
        <w:gridCol w:w="255"/>
        <w:gridCol w:w="109"/>
        <w:gridCol w:w="109"/>
        <w:gridCol w:w="109"/>
        <w:gridCol w:w="347"/>
        <w:gridCol w:w="347"/>
        <w:gridCol w:w="491"/>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243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24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Cost-method investments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24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144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152</w:t>
            </w:r>
          </w:p>
        </w:tc>
      </w:tr>
    </w:tbl>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Cost-method investments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Cost-method investments primarily include a $9 million interest in DNP Photomask Europe S.p.A (“DNP”), a $5 million investment in Claros, Inc., a $17 million investment in Quobly SAS and a $1 million investment in Oversonic robotics Srl.</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Other long-term investments</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2024, the Company participated to the initial purchase offering of InnoScience (Suzhou), which is listed on the main board of the Hong Kong Stock Exchange. The Company acquired a 1.4% equity stake for a total amount of $51 million. As a publicly traded equity instrument, the InnoScience investment is measured at fair value through earnings. The change in fair value amounted to a $26 million unrealized loss in the first six months of 2026, reported on the line "Gain (loss) on financial instruments, net" on the consolidated statement of income.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Credo Technology Inc. ("Credo") completed the acquisition of DustPhotonics for a total consideration of $1.2 billion, of which $0.8 billion settled in cash, $0.1 billion settled in Credo shares and $0.3 billion as contingent consideration. The Company held a 4.35% equity stake in DustPhotonics reported as a cost-method investment, with a carrying value amounting to $10 million at the date of the sale. Upon acquisition of DustPhotonics by Credo, the Company received $31 million in cash and 37,250 Credo shares valued at $4 million. The Company also recorded a receivable amounting to $3 million related to the sale. The sale of DustPhotonics investment generated a non-operating gain of $28 million reported on the line "Gain (loss) on financial instruments, net" in the consolidated statement of income for the three months and six months ended June 27, 2026. As a publicly traded equity instrument, Credo shares are measured at fair value through earnings, with a $5 million unrealized gain recorded on the line "Gain (loss) on financial instruments, net" in the consolidated statement of income for the three and six months ended June 27, 2026.</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2023, the Company and Sanan Optoelectronics jointly created Sanan ST JV for high-volume 200mm SiC device manufacturing activities in China. The purpose of the entity is to support the rising demand for the Company's SiC devices for car electrification and industrial power and energy applications in China. With the creation and future operations of Sanan ST JV, the Company seeks to create a fully integrated vertical value chain aiming at serving the Chinese electrification market. Sanan Optoelectronics will build a separate 200mm SiC substrate manufacturing facility to fulfill Sanan ST JV's needs. Sanan ST JV will produce SiC devices exclusively for the Company, using the Company's proprietary SiC manufacturing process technology and know how and serving as a dedicated foundry to support the Company's demand for Chinese customers. In the second quarter of 2026, the capital investment project reached the ready-for-production date and entered into the ramp-up phase of Sanan ST joint venture's integrated manufacturing activities.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Sanan ST JV as a VIE, primarily based on the disproportionality between its 49% equity interest rights and its economic interest and operating role in the entity. Indeed the significant activities of Sanan ST JV involve or are conducted on behalf of the Company as the sole customer of the entity. Moreover, through its key role in the successful process qualification and future manufacturing efficiency based on its SiC manufacturing process technology, the Company has the power to control the activities that most significantly impact Sanan ST JV's future economic performance. Additionally, based on the nature of the risks impacting Sanan ST JV's future economic performance, the Company will absorb the potential losses of Sanan ST JV or the right to receive benefits downstream the whole integrated SiC device value chain. Consequently, the Company has a controlling financing interest in Sanan ST JV and is the primary beneficiary of the VIE.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the primary beneficiary of Sanan ST JV, the Company fully consolidates the VIE, with the recognition of 51% non-controlling interest. Non-controlling interest amounted to $316 million and $312 million as of June 27,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23.Other Non-Current Assets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non-current assets are detailed below: </w:t>
      </w:r>
    </w:p>
    <w:tbl>
      <w:tblPr>
        <w:tblW w:w="6054" w:type="dxa"/>
        <w:jc w:val="left"/>
        <w:tblInd w:w="0" w:type="dxa"/>
        <w:tblLayout w:type="fixed"/>
        <w:tblCellMar>
          <w:top w:w="28" w:type="dxa"/>
          <w:left w:w="28" w:type="dxa"/>
          <w:bottom w:w="28" w:type="dxa"/>
          <w:right w:w="28" w:type="dxa"/>
        </w:tblCellMar>
      </w:tblPr>
      <w:tblGrid>
        <w:gridCol w:w="1251"/>
        <w:gridCol w:w="1097"/>
        <w:gridCol w:w="1102"/>
        <w:gridCol w:w="109"/>
        <w:gridCol w:w="109"/>
        <w:gridCol w:w="109"/>
        <w:gridCol w:w="255"/>
        <w:gridCol w:w="255"/>
        <w:gridCol w:w="255"/>
        <w:gridCol w:w="109"/>
        <w:gridCol w:w="109"/>
        <w:gridCol w:w="109"/>
        <w:gridCol w:w="347"/>
        <w:gridCol w:w="347"/>
        <w:gridCol w:w="491"/>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4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funding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other government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tax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deposits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234</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45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1,409</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1,272</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br/>
        <w:t>Public funding receivables include public funding scheme for research, development, innovation and first industrial deployment activities, of which $726 million and $541 million were reported as non-current assets as of June 27, 2026 and December 31, 2025,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factoring transactions to accelerate the realization in cash of certain non-current assets. There were no factoring transaction as of June 27, 2026, as compared to $65 million, with a financial cost of $2 million, as of June 28, 2025.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Prepayments and deposits to third parties include receivables related to long-term supply agreements involving purchase of raw materials, capacity commitments, cloud-hosting arrangements, and other services.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Other non-current assets presented in the table above on the line “Other non-current assets” are composed of individually not significant amounts not deemed to have exposure of default. Consequently, no significant expected credit loss allowance was reported on other non-current assets at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68" w:before="240" w:after="240"/>
        <w:ind w:left="0" w:right="0" w:hanging="360"/>
        <w:jc w:val="left"/>
        <w:rPr>
          <w:rFonts w:ascii="Times New Roman;serif" w:hAnsi="Times New Roman;serif"/>
          <w:b/>
          <w:color w:val="000000"/>
          <w:sz w:val="24"/>
        </w:rPr>
      </w:pPr>
      <w:r>
        <w:rPr>
          <w:rFonts w:ascii="Times New Roman;serif" w:hAnsi="Times New Roman;serif"/>
          <w:b/>
          <w:color w:val="000000"/>
          <w:sz w:val="24"/>
        </w:rPr>
        <w:t>24.Other Payables and Accrued Liabilities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Other payables and accrued liabilities are detailed below:</w:t>
      </w:r>
    </w:p>
    <w:tbl>
      <w:tblPr>
        <w:tblW w:w="6249" w:type="dxa"/>
        <w:jc w:val="left"/>
        <w:tblInd w:w="0" w:type="dxa"/>
        <w:tblLayout w:type="fixed"/>
        <w:tblCellMar>
          <w:top w:w="28" w:type="dxa"/>
          <w:left w:w="28" w:type="dxa"/>
          <w:bottom w:w="28" w:type="dxa"/>
          <w:right w:w="28" w:type="dxa"/>
        </w:tblCellMar>
      </w:tblPr>
      <w:tblGrid>
        <w:gridCol w:w="1319"/>
        <w:gridCol w:w="1159"/>
        <w:gridCol w:w="1167"/>
        <w:gridCol w:w="109"/>
        <w:gridCol w:w="109"/>
        <w:gridCol w:w="109"/>
        <w:gridCol w:w="255"/>
        <w:gridCol w:w="255"/>
        <w:gridCol w:w="255"/>
        <w:gridCol w:w="109"/>
        <w:gridCol w:w="109"/>
        <w:gridCol w:w="109"/>
        <w:gridCol w:w="347"/>
        <w:gridCol w:w="347"/>
        <w:gridCol w:w="491"/>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liabilities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compensated absences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public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(Note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and contribution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 (Note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364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1,440</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Advances from customers include multi-annual capacity reservation and volume commitment agreements signed with certain customers. Some of these arrangements include take-or-pay clauses, according to which the Company is entitled to receive the full amount of the contractual commitment fees in case of non-compliant orders from those customers. Certain agreements include penalties in case the Company is not able to fulfill its contractual obligations. No significant provision for those penalties was reported on the consolidated balance sheets as of June 27, 2026 and December 31,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continued the execution of the program to reshape its manufacturing footprint and to resize its global cost base. Restructuring liabilities and provisions related to such programs expected to be settled within twelve months totaled $77 million as of June 27, 2026, as further described in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68" w:before="240" w:after="240"/>
        <w:ind w:left="0" w:right="0" w:hanging="360"/>
        <w:jc w:val="left"/>
        <w:rPr>
          <w:rFonts w:ascii="Times New Roman;serif" w:hAnsi="Times New Roman;serif"/>
          <w:b/>
          <w:color w:val="000000"/>
          <w:sz w:val="24"/>
        </w:rPr>
      </w:pPr>
      <w:r>
        <w:rPr>
          <w:rFonts w:ascii="Times New Roman;serif" w:hAnsi="Times New Roman;serif"/>
          <w:b/>
          <w:color w:val="000000"/>
          <w:sz w:val="24"/>
        </w:rPr>
        <w:t xml:space="preserve">25.Financial Debt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debt consists of the following:</w:t>
      </w:r>
    </w:p>
    <w:tbl>
      <w:tblPr>
        <w:tblW w:w="9653" w:type="dxa"/>
        <w:jc w:val="left"/>
        <w:tblInd w:w="0" w:type="dxa"/>
        <w:tblLayout w:type="fixed"/>
        <w:tblCellMar>
          <w:top w:w="28" w:type="dxa"/>
          <w:left w:w="28" w:type="dxa"/>
          <w:bottom w:w="28" w:type="dxa"/>
          <w:right w:w="28" w:type="dxa"/>
        </w:tblCellMar>
      </w:tblPr>
      <w:tblGrid>
        <w:gridCol w:w="2555"/>
        <w:gridCol w:w="2240"/>
        <w:gridCol w:w="2254"/>
        <w:gridCol w:w="109"/>
        <w:gridCol w:w="109"/>
        <w:gridCol w:w="109"/>
        <w:gridCol w:w="255"/>
        <w:gridCol w:w="255"/>
        <w:gridCol w:w="255"/>
        <w:gridCol w:w="109"/>
        <w:gridCol w:w="109"/>
        <w:gridCol w:w="109"/>
        <w:gridCol w:w="347"/>
        <w:gridCol w:w="347"/>
        <w:gridCol w:w="491"/>
      </w:tblGrid>
      <w:tr>
        <w:trPr/>
        <w:tc>
          <w:tcPr>
            <w:tcW w:w="255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70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70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both"/>
              <w:rPr/>
            </w:pPr>
            <w:r>
              <w:rPr>
                <w:rFonts w:ascii="Times New Roman;serif" w:hAnsi="Times New Roman;serif"/>
                <w:b/>
                <w:color w:val="000000"/>
                <w:sz w:val="20"/>
              </w:rPr>
              <w:t>Funding program loans from European Investment Bank (</w:t>
            </w:r>
            <w:r>
              <w:rPr>
                <w:color w:val="000000"/>
              </w:rPr>
              <w:t>“</w:t>
            </w:r>
            <w:r>
              <w:rPr>
                <w:rFonts w:ascii="Times New Roman;serif" w:hAnsi="Times New Roman;serif"/>
                <w:b/>
                <w:color w:val="000000"/>
                <w:sz w:val="20"/>
              </w:rPr>
              <w:t>EIB</w:t>
            </w:r>
            <w:r>
              <w:rPr>
                <w:color w:val="000000"/>
              </w:rPr>
              <w:t>”</w:t>
            </w:r>
            <w:r>
              <w:rPr>
                <w:rFonts w:ascii="Times New Roman;serif" w:hAnsi="Times New Roman;serif"/>
                <w:b/>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3.01% due 2028, floating interest rate at Euribor + 0.589%</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2.72% due 2029, floating interest rate at Euribor + 0.564%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2.63% due 2031, floating interest rate at Euribor + 0.473%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2.65% due 2031, floating interest rate at Euribor + 0.550%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3.18% due 2033, floating interest rate at Euribor + 0.558%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4.51% due 2034, floating interest rate at Secured Overnight Financing Rate + 0.939%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2.64% due 2036, floating interest rate at Euribor + 0.514%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both"/>
              <w:rPr/>
            </w:pPr>
            <w:r>
              <w:rPr>
                <w:rFonts w:ascii="Times New Roman;serif" w:hAnsi="Times New Roman;serif"/>
                <w:b/>
                <w:color w:val="000000"/>
                <w:sz w:val="20"/>
              </w:rPr>
              <w:t>Credit Facility from Cassa Depositi e Prestiti SpA (</w:t>
            </w:r>
            <w:r>
              <w:rPr>
                <w:color w:val="000000"/>
              </w:rPr>
              <w:t>“</w:t>
            </w:r>
            <w:r>
              <w:rPr>
                <w:rFonts w:ascii="Times New Roman;serif" w:hAnsi="Times New Roman;serif"/>
                <w:b/>
                <w:color w:val="000000"/>
                <w:sz w:val="20"/>
              </w:rPr>
              <w:t>CDP SpA</w:t>
            </w:r>
            <w:r>
              <w:rPr>
                <w:color w:val="000000"/>
              </w:rPr>
              <w:t>”</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3.28% due 2027, floating interest rate at Euribor + 0.690%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2.69% due 2028, floating interest rate at Euribor + 0.550%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 due 2029, floating interest rate at Euribor + 0.850%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Dual tranche senior unsecured convertible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Zero-coupon due 2027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r>
      <w:tr>
        <w:trPr/>
        <w:tc>
          <w:tcPr>
            <w:tcW w:w="70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Zero-coupon due 2031 (Tranche 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0.625% due 2033 (Tranche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0.00% due 2026, 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3.86% due 2027, fixed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 due 2042, 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1.75% due 2042, fixed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4.73% due 2045, 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5.85% due 2027, fixed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funding program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0.23% (weighted average), due 2026-2028, fixed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0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debt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2,133</w:t>
            </w:r>
          </w:p>
        </w:tc>
      </w:tr>
      <w:tr>
        <w:trPr/>
        <w:tc>
          <w:tcPr>
            <w:tcW w:w="70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r>
      <w:tr>
        <w:trPr/>
        <w:tc>
          <w:tcPr>
            <w:tcW w:w="704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debt, less current portion</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2,962</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1,835</w:t>
            </w:r>
          </w:p>
        </w:tc>
      </w:tr>
    </w:tbl>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Convertible bonds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2020, the Company issued a $1.5 billion principal amount of dual tranche senior unsecured convertible bonds (Tranche A and Tranche B for $750 million each tranche), with original maturity in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 Tranche A bond with a $200,000 par value and an equivalent of 4,435 shares per each Tranche B bond with a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$1,567 million, after deducting issuance costs paid by the Company.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2025, Tranche A bonds were fully settled in cash for their principal amount of $750 million, since Tranche A reached maturity while the conversion options were out-of-the money. As per contractual terms, the bondholders have full conversion rights on Tranche B bonds starting August 2024 and Tranche B bonds are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callable by the Company with a 130% contingent feature, with the exercise of its call rights being preceded by the release, by the Company, of an Optional Redemption Notice.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16, 2026, the Company released an early redemption notice to inform bondholders of its intention to early redeem the Tranche B bonds. Each conversion will follow the process defined in the original terms and conditions of the convertible bonds, which will determine the actual consideration to be transferred to the bondholders, either in cash, shares, or a mix of both, depending on the settlement basis the Company elects for each conversion. No conversions were effectively settled as at the end of the second quarter of 2026. The settlement will consequently be reported in the third quarter of 2026, when the consideration is measured and transferred to the bondholders. The carrying amount of Tranche B bonds have been reported as “Short-term debt” in the consolidated balance sheets as of June 27, 2026. As of December 31, 2025, the bonds were classified as “Long-term debt” based on their original maturity and the fact that, as of the balance sheet date, the Company's stock price did not exceed the conversion price of the senior unsecured bonds.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issued a $1.5 billion principal amount of dual tranche senior unsecured convertible bonds (Tranche A and Tranche B for $750 million each tranche), with original maturity in 2031 and 2033, respectively. Tranche A bonds were issued at par as zero-coupon bonds while Tranche B bonds were issued at par and bear a 0.625% per annum nominal interest, payable semi-annually. The conversion price at issuance was $119.98 for Tranche A, equivalent to a 55.0% conversion premium, and $121.92 for Tranche B, equivalent to a 57.5% conversion premium. These conversion features correspond to an equivalent of 1,667 shares per each Tranche A bond with a $200,000 par value and an equivalent of 1,640 shares per each Tranche B bond with a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$1,490 million, after deducting $10 million issuance costs paid by the Company.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2026 senior unsecured convertible bonds were reported as “Long-term debt” in the consolidated balance sheets as of June 27, 2026, based on their original maturity and the fact that, as of June 27, 2026, the Company's stock price did not exceed the conversion price of the 2026 senior unsecured bonds.</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contains standard conditions but does not impose minimum financial ratios. The Company had unutilized committed medium-term credit facilities with core relationship banks totaling $1,191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EIB Loans are comprised of three long-term amortizing credit facilities as part of R&amp;D funding programs. The first one, signed in August 2017, is a €500 million loan in relation to R&amp;D and capital expenditures in the European Union. The entire amount was fully drawn in Euros corresponding to $171 million outstanding as of June 27, 2026. The second one, signed in 2020, is a €500 million credit facility agreement with EIB to support R&amp;D and capital expenditure programs in Italy and France. The amount was fully drawn in Euros representing $303 million outstanding as of June 27, 2026. In 2022, the Company signed a third long-term amortizing credit facility with EIB of €600 million, out of which, €300 million was withdrawn in Euros and $300 million in U.S Dollars, representing $514 million outstanding as of June 27, 2026. In 2026, the Company entered into a fourth credit facility with the EIB for €1,000 million to strengthen Europe’s semiconductor industry and support innovation. Of this amount, €500 million was drawn in euros, representing an outstanding balance of $570 million as of June 27, 2026.</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CDP SpA loans are comprised of two long-term credit facilities. The first, signed in 2021, is a €150 million loan, fully drawn in Euros, of which $28 million were outstanding as of June 27, 2026. The second one, signed in 2022, is a €200 million loan, fully drawn in Euros, of which $104 million was outstanding as of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 xml:space="preserve">26.Post-Employment and Other Long-Term Employee Benefits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have several defined benefit pension plans, mainly unfunded, and other long-term employees’ benefits covering employees in various countries. The defined benefit plans provide pension benefits based on years of service and employee compensation levels. The other long-term employees’ plans provide benefits during the employees’ service period after certain seniority levels. The Company uses December 31 as the measurement date for its plans. Eligibility is generally determined in accordance with local statutory requirements.</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the net periodic benefit cost includes the following:</w:t>
      </w:r>
    </w:p>
    <w:tbl>
      <w:tblPr>
        <w:tblW w:w="8081" w:type="dxa"/>
        <w:jc w:val="left"/>
        <w:tblInd w:w="0" w:type="dxa"/>
        <w:tblLayout w:type="fixed"/>
        <w:tblCellMar>
          <w:top w:w="28" w:type="dxa"/>
          <w:left w:w="28" w:type="dxa"/>
          <w:bottom w:w="28" w:type="dxa"/>
          <w:right w:w="28" w:type="dxa"/>
        </w:tblCellMar>
      </w:tblPr>
      <w:tblGrid>
        <w:gridCol w:w="1210"/>
        <w:gridCol w:w="1063"/>
        <w:gridCol w:w="1072"/>
        <w:gridCol w:w="109"/>
        <w:gridCol w:w="109"/>
        <w:gridCol w:w="109"/>
        <w:gridCol w:w="255"/>
        <w:gridCol w:w="255"/>
        <w:gridCol w:w="255"/>
        <w:gridCol w:w="175"/>
        <w:gridCol w:w="175"/>
        <w:gridCol w:w="175"/>
        <w:gridCol w:w="255"/>
        <w:gridCol w:w="255"/>
        <w:gridCol w:w="255"/>
        <w:gridCol w:w="109"/>
        <w:gridCol w:w="109"/>
        <w:gridCol w:w="109"/>
        <w:gridCol w:w="254"/>
        <w:gridCol w:w="254"/>
        <w:gridCol w:w="256"/>
        <w:gridCol w:w="151"/>
        <w:gridCol w:w="151"/>
        <w:gridCol w:w="151"/>
        <w:gridCol w:w="237"/>
        <w:gridCol w:w="237"/>
        <w:gridCol w:w="336"/>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4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3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periodic benefit cost</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w:t>
            </w:r>
          </w:p>
        </w:tc>
        <w:tc>
          <w:tcPr>
            <w:tcW w:w="52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(25)</w:t>
            </w:r>
          </w:p>
        </w:tc>
        <w:tc>
          <w:tcPr>
            <w:tcW w:w="4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(28)</w:t>
            </w:r>
          </w:p>
        </w:tc>
      </w:tr>
    </w:tbl>
    <w:tbl>
      <w:tblPr>
        <w:tblW w:w="7786" w:type="dxa"/>
        <w:jc w:val="left"/>
        <w:tblInd w:w="0" w:type="dxa"/>
        <w:tblLayout w:type="fixed"/>
        <w:tblCellMar>
          <w:top w:w="28" w:type="dxa"/>
          <w:left w:w="28" w:type="dxa"/>
          <w:bottom w:w="28" w:type="dxa"/>
          <w:right w:w="28" w:type="dxa"/>
        </w:tblCellMar>
      </w:tblPr>
      <w:tblGrid>
        <w:gridCol w:w="1004"/>
        <w:gridCol w:w="880"/>
        <w:gridCol w:w="890"/>
        <w:gridCol w:w="109"/>
        <w:gridCol w:w="109"/>
        <w:gridCol w:w="109"/>
        <w:gridCol w:w="255"/>
        <w:gridCol w:w="255"/>
        <w:gridCol w:w="255"/>
        <w:gridCol w:w="211"/>
        <w:gridCol w:w="211"/>
        <w:gridCol w:w="211"/>
        <w:gridCol w:w="255"/>
        <w:gridCol w:w="255"/>
        <w:gridCol w:w="255"/>
        <w:gridCol w:w="109"/>
        <w:gridCol w:w="109"/>
        <w:gridCol w:w="109"/>
        <w:gridCol w:w="255"/>
        <w:gridCol w:w="255"/>
        <w:gridCol w:w="255"/>
        <w:gridCol w:w="207"/>
        <w:gridCol w:w="207"/>
        <w:gridCol w:w="207"/>
        <w:gridCol w:w="237"/>
        <w:gridCol w:w="237"/>
        <w:gridCol w:w="335"/>
      </w:tblGrid>
      <w:tr>
        <w:trPr/>
        <w:tc>
          <w:tcPr>
            <w:tcW w:w="100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long-term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long-term benefits</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63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62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27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6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77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periodic benefit cost</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6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w:t>
            </w:r>
          </w:p>
        </w:tc>
        <w:tc>
          <w:tcPr>
            <w:tcW w:w="62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Employer contributions paid and expected to be paid in 2026 are consistent with the amounts disclosed in the consolidated financial statements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 xml:space="preserve">27.Other Long-Term Liabilities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consists of the following: </w:t>
      </w:r>
    </w:p>
    <w:tbl>
      <w:tblPr>
        <w:tblW w:w="7764" w:type="dxa"/>
        <w:jc w:val="left"/>
        <w:tblInd w:w="0" w:type="dxa"/>
        <w:tblLayout w:type="fixed"/>
        <w:tblCellMar>
          <w:top w:w="28" w:type="dxa"/>
          <w:left w:w="28" w:type="dxa"/>
          <w:bottom w:w="28" w:type="dxa"/>
          <w:right w:w="28" w:type="dxa"/>
        </w:tblCellMar>
      </w:tblPr>
      <w:tblGrid>
        <w:gridCol w:w="1869"/>
        <w:gridCol w:w="1643"/>
        <w:gridCol w:w="1648"/>
        <w:gridCol w:w="109"/>
        <w:gridCol w:w="109"/>
        <w:gridCol w:w="109"/>
        <w:gridCol w:w="255"/>
        <w:gridCol w:w="255"/>
        <w:gridCol w:w="255"/>
        <w:gridCol w:w="109"/>
        <w:gridCol w:w="109"/>
        <w:gridCol w:w="109"/>
        <w:gridCol w:w="347"/>
        <w:gridCol w:w="347"/>
        <w:gridCol w:w="491"/>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516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516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 (Note 21)</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on business combinations (Note 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51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 benefits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from public funding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51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received on capital grants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51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uncertain tax provisions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5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16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1,010</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Advances received on capital grants relate to Sanan ST JV, the entity the Company and Sanan Optoelectronics created in 2023 for high-volume 200mm SiC device manufacturing activities in China, as described in Note 22. This entity is a party to a regional public funding program, primarily consisting in capital grants received on eligible capital expenditures (infrastructures and equipment). As of June 27, 2026, the Company held $306 million of advances ($333 million as of December 31, 2025) on these capital grants while the capital expenditures had not been incurred yet.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Advances from customers include multi-annual volume commitment agreements signed with certain customers. Some of these arrangements include take-or-pay clauses, according to which the Company is entitled to receive the full amount of the contractual commitment fees in case of non-compliant orders from those customers. Certain agreements include penalties in case the Company is not able to fulfill its contractual obligations. No significant provision for those penalties was reported on the consolidated balance sheets as of June 27,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28.Dividends</w:t>
      </w:r>
    </w:p>
    <w:p>
      <w:pPr>
        <w:pStyle w:val="TextBody"/>
        <w:bidi w:val="0"/>
        <w:spacing w:lineRule="auto" w:line="268" w:before="0" w:after="240"/>
        <w:jc w:val="both"/>
        <w:rPr/>
      </w:pPr>
      <w:r>
        <w:rPr>
          <w:rFonts w:ascii="Times New Roman;serif" w:hAnsi="Times New Roman;serif"/>
          <w:b w:val="false"/>
          <w:color w:val="000000"/>
          <w:sz w:val="20"/>
        </w:rPr>
        <w:t xml:space="preserve">The Annual General Meeting of Shareholders (“AGM”) held on May 27, 2026 authorized the distribution of a cash dividend of $0.36 per outstanding share of the Company’s common stock, to be distributed in quarterly installments of $0.09 in each of the second, third and fourth quarters of 2026 and first quarter of 2027. </w:t>
      </w:r>
      <w:r>
        <w:rPr>
          <w:rFonts w:ascii="Times New Roman;serif" w:hAnsi="Times New Roman;serif"/>
          <w:b w:val="false"/>
          <w:color w:val="000000"/>
          <w:sz w:val="20"/>
          <w:shd w:fill="FFFFFF" w:val="clear"/>
        </w:rPr>
        <w:t>An amount of</w:t>
      </w:r>
      <w:r>
        <w:rPr>
          <w:color w:val="000000"/>
        </w:rPr>
        <w:t xml:space="preserve"> </w:t>
      </w:r>
      <w:r>
        <w:rPr>
          <w:rFonts w:ascii="Times New Roman;serif" w:hAnsi="Times New Roman;serif"/>
          <w:b w:val="false"/>
          <w:color w:val="000000"/>
          <w:sz w:val="20"/>
        </w:rPr>
        <w:t>$57 mil</w:t>
      </w:r>
      <w:r>
        <w:rPr>
          <w:rFonts w:ascii="Times New Roman;serif" w:hAnsi="Times New Roman;serif"/>
          <w:b w:val="false"/>
          <w:color w:val="000000"/>
          <w:sz w:val="20"/>
          <w:shd w:fill="FFFFFF" w:val="clear"/>
        </w:rPr>
        <w:t>lion corresponding to the first installment was paid during the second quarter of 2026. The remaining portion of the first installment and the $0.27 per share cash dividend corresponding to the remaining three installments totaled $</w:t>
      </w:r>
      <w:r>
        <w:rPr>
          <w:rFonts w:ascii="Times New Roman;serif" w:hAnsi="Times New Roman;serif"/>
          <w:b w:val="false"/>
          <w:color w:val="000000"/>
          <w:sz w:val="20"/>
        </w:rPr>
        <w:t>265</w:t>
      </w:r>
      <w:r>
        <w:rPr>
          <w:color w:val="000000"/>
          <w:shd w:fill="FFFFFF" w:val="clear"/>
        </w:rPr>
        <w:t xml:space="preserve"> </w:t>
      </w:r>
      <w:r>
        <w:rPr>
          <w:rFonts w:ascii="Times New Roman;serif" w:hAnsi="Times New Roman;serif"/>
          <w:b w:val="false"/>
          <w:color w:val="000000"/>
          <w:sz w:val="20"/>
          <w:shd w:fill="FFFFFF" w:val="clear"/>
        </w:rPr>
        <w:t xml:space="preserve">million and have been reported in the line “Dividends payable to stockholders” in the consolidated balance sheet as of </w:t>
      </w:r>
      <w:r>
        <w:rPr>
          <w:rFonts w:ascii="Times New Roman;serif" w:hAnsi="Times New Roman;serif"/>
          <w:b w:val="false"/>
          <w:color w:val="000000"/>
          <w:sz w:val="20"/>
        </w:rPr>
        <w:t>June 27, 2026</w:t>
      </w:r>
      <w:r>
        <w:rPr>
          <w:rFonts w:ascii="Times New Roman;serif" w:hAnsi="Times New Roman;serif"/>
          <w:b w:val="false"/>
          <w:color w:val="000000"/>
          <w:sz w:val="20"/>
          <w:shd w:fill="FFFFFF" w:val="clear"/>
        </w:rPr>
        <w:t>.</w:t>
      </w:r>
    </w:p>
    <w:p>
      <w:pPr>
        <w:pStyle w:val="TextBody"/>
        <w:bidi w:val="0"/>
        <w:spacing w:lineRule="auto" w:line="240" w:before="0" w:after="240"/>
        <w:jc w:val="both"/>
        <w:rPr/>
      </w:pPr>
      <w:r>
        <w:rPr>
          <w:rFonts w:ascii="Times New Roman;serif" w:hAnsi="Times New Roman;serif"/>
          <w:b w:val="false"/>
          <w:color w:val="000000"/>
          <w:sz w:val="20"/>
          <w:shd w:fill="FFFFFF" w:val="clear"/>
        </w:rPr>
        <w:t>The AGM held on May 28, 2025 authorized the distribution of a cash dividend of $0.36 per outstanding share of the Company’s common stock, to be distributed in quarterly installments of $0.09 in each of the second, third and fourth qu</w:t>
      </w:r>
      <w:r>
        <w:rPr>
          <w:rFonts w:ascii="Times New Roman;serif" w:hAnsi="Times New Roman;serif"/>
          <w:b w:val="false"/>
          <w:color w:val="000000"/>
          <w:sz w:val="20"/>
        </w:rPr>
        <w:t>arters of 2025 and first quarter of 2026. An amount of $81 million corresponding to the first installment, $80 million corresponding to the second installment and $71 million corresponding to the third installment were paid in 2025. A</w:t>
      </w:r>
      <w:r>
        <w:rPr>
          <w:rFonts w:ascii="Times New Roman;serif" w:hAnsi="Times New Roman;serif"/>
          <w:b w:val="false"/>
          <w:color w:val="000000"/>
          <w:sz w:val="20"/>
          <w:shd w:fill="FFFFFF" w:val="clear"/>
        </w:rPr>
        <w:t>n amount of $9 million corresponding to the remaining portion of the third installment and $80 million corresponding to the fourth installment were paid during the first half of 2026.</w:t>
      </w:r>
    </w:p>
    <w:p>
      <w:pPr>
        <w:pStyle w:val="TextBody"/>
        <w:bidi w:val="0"/>
        <w:spacing w:lineRule="auto" w:line="26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AGM held on May 22, 2024 authorized the distribution of a cash dividend of $0.36 per outstanding share of the Company’s common stock, to be distributed in quarterly installments of $0.09 in each of the second, third and fourth quarters of 2024 and first quarter of 2025. An amount of $81 million corresponding to the first installment, $81 million corresponding to the second installment and $72 million corresponding to the third installment were paid in 2024. An amount of $9 million corresponding to the remaining portion of the third installment and $80 million corresponding to the fourth installment were paid during the first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29.Shareholders' Equity</w:t>
      </w:r>
    </w:p>
    <w:p>
      <w:pPr>
        <w:pStyle w:val="TextBody"/>
        <w:bidi w:val="0"/>
        <w:spacing w:lineRule="auto" w:line="268" w:before="0" w:after="24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authorized share capital of the Company is Euro 1,810 million consisting of 1,200,000,000 common shares and 540,000,000 preference shares, each with a nominal value of €1.04. As of </w:t>
      </w:r>
      <w:r>
        <w:rPr>
          <w:rFonts w:ascii="Times New Roman;serif" w:hAnsi="Times New Roman;serif"/>
          <w:b w:val="false"/>
          <w:color w:val="000000"/>
          <w:sz w:val="20"/>
        </w:rPr>
        <w:t>June 27, 2026</w:t>
      </w:r>
      <w:r>
        <w:rPr>
          <w:rFonts w:ascii="Times New Roman;serif" w:hAnsi="Times New Roman;serif"/>
          <w:b w:val="false"/>
          <w:color w:val="000000"/>
          <w:sz w:val="20"/>
          <w:shd w:fill="FFFFFF" w:val="clear"/>
        </w:rPr>
        <w:t>, the number of shares of common stock issued was 911,281,920 shares (911,281,920 as</w:t>
      </w:r>
      <w:r>
        <w:rPr>
          <w:color w:val="000000"/>
        </w:rPr>
        <w:t xml:space="preserve"> </w:t>
      </w:r>
      <w:r>
        <w:rPr>
          <w:rFonts w:ascii="Times New Roman;serif" w:hAnsi="Times New Roman;serif"/>
          <w:b w:val="false"/>
          <w:color w:val="000000"/>
          <w:sz w:val="20"/>
        </w:rPr>
        <w:t xml:space="preserve">of December 31, 2025). </w:t>
      </w:r>
    </w:p>
    <w:p>
      <w:pPr>
        <w:pStyle w:val="TextBody"/>
        <w:bidi w:val="0"/>
        <w:spacing w:lineRule="auto" w:line="268" w:before="0" w:after="240"/>
        <w:jc w:val="both"/>
        <w:rPr/>
      </w:pPr>
      <w:r>
        <w:rPr>
          <w:rFonts w:ascii="Times New Roman;serif" w:hAnsi="Times New Roman;serif"/>
          <w:b w:val="false"/>
          <w:color w:val="000000"/>
          <w:sz w:val="20"/>
        </w:rPr>
        <w:t xml:space="preserve">As of June 27, 2026, the number of shares of common stock outstanding was 892,545,207 </w:t>
      </w:r>
      <w:r>
        <w:rPr>
          <w:rFonts w:ascii="Times New Roman;serif" w:hAnsi="Times New Roman;serif"/>
          <w:b w:val="false"/>
          <w:color w:val="000000"/>
          <w:sz w:val="20"/>
          <w:shd w:fill="FFFFFF" w:val="clear"/>
        </w:rPr>
        <w:t>(</w:t>
      </w:r>
      <w:r>
        <w:rPr>
          <w:rFonts w:ascii="Times New Roman;serif" w:hAnsi="Times New Roman;serif"/>
          <w:b w:val="false"/>
          <w:color w:val="000000"/>
          <w:sz w:val="20"/>
        </w:rPr>
        <w:t>888,768,152</w:t>
      </w:r>
      <w:r>
        <w:rPr>
          <w:color w:val="000000"/>
          <w:shd w:fill="FFFFFF" w:val="clear"/>
        </w:rPr>
        <w:t xml:space="preserve"> </w:t>
      </w:r>
      <w:r>
        <w:rPr>
          <w:rFonts w:ascii="Times New Roman;serif" w:hAnsi="Times New Roman;serif"/>
          <w:b w:val="false"/>
          <w:color w:val="000000"/>
          <w:sz w:val="20"/>
        </w:rPr>
        <w:t xml:space="preserve">as of December 31, 2025). </w:t>
      </w:r>
    </w:p>
    <w:p>
      <w:pPr>
        <w:pStyle w:val="TextBody"/>
        <w:bidi w:val="0"/>
        <w:spacing w:lineRule="auto" w:line="268" w:before="0" w:after="240"/>
        <w:jc w:val="both"/>
        <w:rPr/>
      </w:pPr>
      <w:r>
        <w:rPr>
          <w:rFonts w:ascii="Times New Roman;serif" w:hAnsi="Times New Roman;serif"/>
          <w:b w:val="false"/>
          <w:color w:val="000000"/>
          <w:sz w:val="20"/>
        </w:rPr>
        <w:t>As of June 27, 2026, the Company owned 18,736,713 shares classified as treasury stock in the consolidated statement of equity compared to</w:t>
      </w:r>
      <w:r>
        <w:rPr>
          <w:color w:val="EE2724"/>
        </w:rPr>
        <w:t xml:space="preserve"> </w:t>
      </w:r>
      <w:r>
        <w:rPr>
          <w:rFonts w:ascii="Times New Roman;serif" w:hAnsi="Times New Roman;serif"/>
          <w:b w:val="false"/>
          <w:color w:val="000000"/>
          <w:sz w:val="20"/>
        </w:rPr>
        <w:t>22,513,768 shares as of December 31,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treasury shares have been originally designated for allocation under the Company’s share-based remuneration programs. In the first six months of 2026 and 2025, 3,777,055 and 4,241,469 of these treasury shares, respectively, were transferred to employees under the Company’s share-based remuneration programs. </w:t>
      </w:r>
    </w:p>
    <w:p>
      <w:pPr>
        <w:pStyle w:val="TextBody"/>
        <w:bidi w:val="0"/>
        <w:spacing w:lineRule="auto" w:line="268" w:before="0" w:after="240"/>
        <w:jc w:val="both"/>
        <w:rPr/>
      </w:pPr>
      <w:r>
        <w:rPr>
          <w:rFonts w:ascii="Times New Roman;serif" w:hAnsi="Times New Roman;serif"/>
          <w:b w:val="false"/>
          <w:color w:val="000000"/>
          <w:sz w:val="20"/>
        </w:rPr>
        <w:t>On June 21, 2024, the Company announced the launch of a new share buy-back plan comprising two programs of up to $</w:t>
      </w:r>
      <w:r>
        <w:rPr>
          <w:rFonts w:ascii="Times New Roman;serif" w:hAnsi="Times New Roman;serif"/>
          <w:b w:val="false"/>
          <w:color w:val="000000"/>
          <w:sz w:val="20"/>
          <w:shd w:fill="FFFFFF" w:val="clear"/>
        </w:rPr>
        <w:t xml:space="preserve">1,100 </w:t>
      </w:r>
      <w:r>
        <w:rPr>
          <w:rFonts w:ascii="Times New Roman;serif" w:hAnsi="Times New Roman;serif"/>
          <w:b w:val="false"/>
          <w:color w:val="000000"/>
          <w:sz w:val="20"/>
        </w:rPr>
        <w:t>million to be executed within a three-year period. Since the program's inception in July 2024, the Company has repurchased approximately 20.5 million shares of its common stock for a total amount of $551 million. During the first six months of 2026, the Company did not purchase any shares of its common stock (7.7 million shares for $184 million during the first six months of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9, 2026, the Company entered into a commercial arrangement with a customer that includes warrants to purchase up to 24.8 million shares of the Company’s common stock at an exercise price of $28.38 per share. The warrants has an exercise term of seven years and a vesting term of five years. The warrants vest primarily based on the customer’s achievement of qualifying product revenue milestones. The warrants are considered to be consideration payable to a customer, and as such, are recorded as a reduction of revenue over the warrant term, in the Company's consolidated statements of income. In the second quarter and six months of 2026, the Company recorded an amount of $3 million and $6 million, respectively as reduction of revenues in relation with these warrants. The grant date fair value of the warrant was determined to be $13.37 per share, which corresponds to a total fair value amount of $331 million using the Black-Scholes option pricing model.</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Activity of the equity warrants for the first six months of 2026 was as follows:</w:t>
      </w:r>
    </w:p>
    <w:tbl>
      <w:tblPr>
        <w:tblW w:w="6193" w:type="dxa"/>
        <w:jc w:val="left"/>
        <w:tblInd w:w="0" w:type="dxa"/>
        <w:tblLayout w:type="fixed"/>
        <w:tblCellMar>
          <w:top w:w="28" w:type="dxa"/>
          <w:left w:w="28" w:type="dxa"/>
          <w:bottom w:w="28" w:type="dxa"/>
          <w:right w:w="28" w:type="dxa"/>
        </w:tblCellMar>
      </w:tblPr>
      <w:tblGrid>
        <w:gridCol w:w="1340"/>
        <w:gridCol w:w="1178"/>
        <w:gridCol w:w="1186"/>
        <w:gridCol w:w="727"/>
        <w:gridCol w:w="727"/>
        <w:gridCol w:w="1035"/>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units (number of shares)</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underlying shares</w:t>
            </w:r>
          </w:p>
        </w:tc>
      </w:tr>
      <w:tr>
        <w:trPr/>
        <w:tc>
          <w:tcPr>
            <w:tcW w:w="370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outstanding as of January 1, 2026</w:t>
            </w:r>
          </w:p>
        </w:tc>
        <w:tc>
          <w:tcPr>
            <w:tcW w:w="248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r>
      <w:tr>
        <w:trPr/>
        <w:tc>
          <w:tcPr>
            <w:tcW w:w="37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4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37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outstanding as of June 27, 2026</w:t>
            </w:r>
          </w:p>
        </w:tc>
        <w:tc>
          <w:tcPr>
            <w:tcW w:w="24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30.Contingencies, Claims and Legal Proceedings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possible loss contingencies arising in the ordinary course of business. These include but are not limited to: product liability claims and/or warranty cost on the products of the Company, contractual disputes, indemnification claims, claims for unauthorized use of third-party intellectual property, employee grievances, tax claims beyond assessed uncertain tax positions and environmental damages. The Company is also exposed to numerous legal risks including potential product recalls, environmental, shareholder rights, tariffs and export control regulations, anti-trust, anti-corruption, competition as well as other compliance risks and regulations. The Company may also face claims in the event of breaches of law committed by individual employees or third parties. In determining loss contingencies, the Company considers the likelihood of impairing an asset or the occurrence of a liability at the date of the consolidated financial statements as well as the ability to reasonably estimate the amount of such loss or liability. The Company records a provision for a loss contingency when information available before the consolidated financial statements are issued or are available to be issued indicates that it is probable that an asset has been impaired or a liability has been incurred at the date of the consolidated financial statements and when the amount of loss can be reasonably estimated. The Company regularly re-evaluates any potential losses and claims to determine whether provisions need to be adjusted based on the most current information available to the Company. Changes in these evaluations could result in an adverse material impact on the Company’s results of operations, cash flows or its financial position for the period in which they occur.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23, 2024, two lawsuits were filed against the Company, and its CEO and CFO, in the United States District Court for the Southern District of New York alleging that the Company provided excessively positive statements to investors concerning 2024 expected revenue and issued false or misleading statements or concealed negative facts regarding the Company’s business, operations, and prospects, in violation of U.S. securities laws. The lawsuits were consolidated into a single lawsuit and thereafter the plaintiff filed amended complaints asserting claims for violation of Sections 10(b) and 20(a) of the Securities Exchange Act, and expanding the purported class period from March 14, 2023, to January 29, 2025. The Company and its CEO and CFO moved to dismiss the lawsuit which motion was denied by the Court on September 15, 2025. The Company and its CEO and CFO believe that they have strong legal defenses against the allegations in the amended complaints and will vigorously defend themselves in court.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received and may in the future receive communications alleging possible infringements of third-party patents or other third-party intellectual property rights. Furthermore, the Company from time to time enters into discussions regarding a broad patent cross license arrangement with other industry participants. There is no assurance that such discussions may be brought to a successful conclusion and result in the intended agreement. The Company may become involved in costly litigation brought against the Company regarding patents, mask works, copyrights, trademarks or trade secrets. In the event that the outcome of any litigation would be unfavorable to the Company, the Company may be required to take a license to third party patents and/or other intellectual property rights at economically unfavorable terms and conditions, and possibly pay damages for prior use and/or face an injunction, all of which individually or in the aggregate could have a material adverse effect on the Company’s results of operations, cash flows, financial position and/or ability to compete.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4, 2023, a jury in the United States District Court for the Western District of Texas in Waco, Texas (USA) returned a verdict in a patent infringement lawsuit in favor of the plaintiff, Purdue University. On June 7, 2024, the Court accepted the jury's verdict and entered a judgment against the Company in the amount of $32 million. Thereafter, the Company filed several post-trial motions challenging the verdict. In the event the Court denies the Company's post-trial motions, the Company intends to appeal to the U.S. Court of Appeals for the Federal Circuit in Washington DC. The risk on this case is considered possible with the possible loss currently estimated at $32 million.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contractual commitments to various customers which could require the Company to incur costs to repair or replace defective products it supplies to such customers. The duration of these contractual commitments varies and, in certain cases, is indefinite. The Company is otherwise also involved in various lawsuits, claims, inquiries, inspections, investigations and/or proceedings incidental to its business and operations. Such matters, even if not meritorious, could result in the expenditure of significant financial or managerial resources. Any of the foregoing could have a material adverse effect on the Company’s results of operations, cash flows or its financial position.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regularly evaluates claims and legal proceedings together with their related probable losses to determine whether they need to be adjusted based on the current information available to the Company. There can be no assurance that its recorded reserves or insurance policies will be sufficient to cover the extent of its potential liabilities. Legal costs associated with claims are expensed as incurred. In the event of litigation which is adversely determined with respect to the Company’s interests, or in the event the Company needs to change its evaluation of a potential third-party claim, based on new evidence or communications, a material adverse effect could impact its operations or financial condition at the time it were to materialize.</w:t>
      </w:r>
    </w:p>
    <w:p>
      <w:pPr>
        <w:pStyle w:val="TextBody"/>
        <w:bidi w:val="0"/>
        <w:spacing w:lineRule="auto" w:line="268" w:before="0" w:after="240"/>
        <w:jc w:val="both"/>
        <w:rPr/>
      </w:pPr>
      <w:r>
        <w:rPr>
          <w:rFonts w:ascii="Times New Roman;serif" w:hAnsi="Times New Roman;serif"/>
          <w:b w:val="false"/>
          <w:color w:val="000000"/>
          <w:sz w:val="20"/>
        </w:rPr>
        <w:t>As of June 27, 2026</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and December 31, 2025, provisions for estimated probable losses with respect to claims and legal proceedings were not considered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31.Derivative Instruments and Risk Management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changes in financial market conditions in the normal course of business due to its operations in different foreign currencies and its ongoing investing and financing activities. The Company’s activities expose it to a variety of financial risks: market risk (including foreign exchange risk, fair value interest rate risk, cash flow interest rate risk and price risk), credit risk and liquidity risk. The Company’s overall risk management program focuses on the unpredictability of financial markets and seeks to minimize potential adverse effects on the Company’s financial performance. The Company uses derivative financial instruments to hedge certain risk exposures.</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Currency forward contracts and currency options are entered into to reduce exposure to changes in exchange rates on the denomination of certain assets and liabilities in foreign currencies at the Company's subsidiaries and to manage the foreign exchange risk associated with certain forecasted transactions.</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 Not Designated as a Hedge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conducts its business globally in various major international currencies. As a result, the Company is exposed to adverse movements in foreign currency exchange rates, primarily regarding the Euro. Foreign exchange risk mainly arises from recognized assets and liabilities at the Company’s subsidiaries and future commercial transactions. Management has set up a policy to require the Company’s subsidiaries to hedge their entire foreign exchange risk exposure with the Company through financial instruments transacted or overseen by Corporate Treasury. Subsidiaries use forward contracts and purchased currency options to manage their foreign exchange risk arising from foreign-currency-denominated assets and liabilities. Foreign exchange risk arises when recognized assets and liabilities are denominated in a currency that is not the entity’s functional currency. These instruments do not qualify as hedging instruments for accounting purposes and are marked-to-market at each period-end with the associated changes in fair value recognized in “Other income and expenses, net” in the consolidated statements of income.</w:t>
      </w:r>
    </w:p>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 Designated as a Hedge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To further reduce its exposure to U.S. dollar exchange rate fluctuations, the Company hedges through the use of currency forward contracts and currency options, including collars, certain Euro-denominated forecasted intercompany transactions that cover at year-end a large part of its R&amp;D and SG&amp;A expenses, as well as a portion of its front-end manufacturing costs of semi-finished goods within cost of sales.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are designated and qualify as cash flow hedges. They are reflected at fair value in the consolidated balance sheets. The criteria for designating a derivative as a hedge include the instrument’s effectiveness in risk reduction and, in most cases, a one-to-one matching of the derivative instrument to its underlying transaction, which enables the Company to conclude, based on the fact that the critical terms of the hedging instruments match the terms of the hedged transactions, that changes in cash flows attributable to the risk being hedged are expected to be completely offset by the hedging derivatives. Currency forward contracts and currency options, including collars, used as hedges are highly effective at reducing the Euro/U.S. dollar currency fluctuation risk and are designated as a hedge at the inception of the contract and on an ongoing basis over the duration of the hedge relationship. Effectiveness on transactions hedged through purchased currency options and collars is measured on the full fair value of the instrument, including the time value of the options. Ineffectiveness appears if the hedge relationship is not perfectly effective or if the cumulative gain or loss on the derivative hedging instrument exceeds the cumulative change on the expected cash flows on the hedged transactions. The whole change in fair value recorded on the hedging instrument is reported as a component of “Accumulated other comprehensive income” in the consolidated statements of equity and is reclassified into earnings in the same period in which the hedged transaction affects earnings, and within the same consolidated statement of income line item as the impact of the hedged transaction.</w:t>
      </w:r>
    </w:p>
    <w:p>
      <w:pPr>
        <w:pStyle w:val="TextBody"/>
        <w:bidi w:val="0"/>
        <w:spacing w:lineRule="auto" w:line="268" w:before="0" w:after="240"/>
        <w:jc w:val="both"/>
        <w:rPr/>
      </w:pPr>
      <w:r>
        <w:rPr>
          <w:rFonts w:ascii="Times New Roman;serif" w:hAnsi="Times New Roman;serif"/>
          <w:b w:val="false"/>
          <w:color w:val="000000"/>
          <w:sz w:val="20"/>
        </w:rPr>
        <w:t xml:space="preserve">The principles regulating the hedging strategy for derivatives designated as cash flow hedge are established as follows: (i) for R&amp;D and corporate costs, up to </w:t>
      </w:r>
      <w:r>
        <w:rPr>
          <w:rFonts w:ascii="Times New Roman;serif" w:hAnsi="Times New Roman;serif"/>
          <w:b w:val="false"/>
          <w:color w:val="000000"/>
          <w:sz w:val="20"/>
          <w:shd w:fill="FFFFFF" w:val="clear"/>
        </w:rPr>
        <w:t>80%</w:t>
      </w:r>
      <w:r>
        <w:rPr>
          <w:color w:val="000000"/>
        </w:rPr>
        <w:t xml:space="preserve"> </w:t>
      </w:r>
      <w:r>
        <w:rPr>
          <w:rFonts w:ascii="Times New Roman;serif" w:hAnsi="Times New Roman;serif"/>
          <w:b w:val="false"/>
          <w:color w:val="000000"/>
          <w:sz w:val="20"/>
        </w:rPr>
        <w:t>of the total forecasted transactions; (ii) for manufacturing costs, up to 70% of the total forecasted transactions. Only in specific circumstances, the Company may change the percentage of the designated hedged item within the limit of 100% of the forecasted transaction. The maximum length of time over which the Company could hedge its exposure to the variability of cash flows for forecasted transactions i</w:t>
      </w:r>
      <w:r>
        <w:rPr>
          <w:rFonts w:ascii="Times New Roman;serif" w:hAnsi="Times New Roman;serif"/>
          <w:b w:val="false"/>
          <w:color w:val="000000"/>
          <w:sz w:val="20"/>
          <w:shd w:fill="FFFFFF" w:val="clear"/>
        </w:rPr>
        <w:t>s 24 months.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 had the following outstanding derivative instruments that were entered into to hedge Euro-denominated forecasted transactions:</w:t>
      </w:r>
    </w:p>
    <w:tbl>
      <w:tblPr>
        <w:tblW w:w="7583" w:type="dxa"/>
        <w:jc w:val="left"/>
        <w:tblInd w:w="0" w:type="dxa"/>
        <w:tblLayout w:type="fixed"/>
        <w:tblCellMar>
          <w:top w:w="28" w:type="dxa"/>
          <w:left w:w="28" w:type="dxa"/>
          <w:bottom w:w="28" w:type="dxa"/>
          <w:right w:w="28" w:type="dxa"/>
        </w:tblCellMar>
      </w:tblPr>
      <w:tblGrid>
        <w:gridCol w:w="624"/>
        <w:gridCol w:w="548"/>
        <w:gridCol w:w="552"/>
        <w:gridCol w:w="109"/>
        <w:gridCol w:w="109"/>
        <w:gridCol w:w="109"/>
        <w:gridCol w:w="849"/>
        <w:gridCol w:w="849"/>
        <w:gridCol w:w="852"/>
        <w:gridCol w:w="109"/>
        <w:gridCol w:w="109"/>
        <w:gridCol w:w="109"/>
        <w:gridCol w:w="777"/>
        <w:gridCol w:w="777"/>
        <w:gridCol w:w="1101"/>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of Euros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 for hedge on</w:t>
              <w:br/>
              <w:t>forecasted R&amp;D and other</w:t>
              <w:b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 for hedge on</w:t>
              <w:br/>
              <w:t>forecasted manufacturing costs</w:t>
            </w:r>
          </w:p>
        </w:tc>
      </w:tr>
      <w:tr>
        <w:trPr/>
        <w:tc>
          <w:tcPr>
            <w:tcW w:w="1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contracts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728</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Cash flow and fair value interest rate risk</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risk arises from long-term borrowings. Borrowings issued at floating rates expose the Company to cash flow interest rate risk. Borrowings issued at fixed rates expose the Company to fair value interest rate risk.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analyzes its interest rate exposure on a dynamic basis. Various scenarios are simulated taking into consideration refinancing, renewal of existing positions, alternative financing and hedging. The Company invests primarily on a short-term basis and as such the Company’s liquidity is invested in floating interest rate instruments. As a consequence, the Company is exposed to interest rate risk due to potential mismatch between the return on its short-term floating interest rate investments and the portion of its long-term debt issued at fixed rate.</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Price risk</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its ongoing investing activities, the Company may invest in publicly traded equity securities and be exposed to equity security price risk. In order to hedge the exposure to this market risk, the Company may enter into certain derivative hedging transactions.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participated to the IPO of Innoscience (Suzhou) which became public on the main segment of Hong Kong Stock Exchange. As a publicly traded equity instrument, Innoscience investment is measured at fair value through earnings, with a $13 million unrealized gain recorded as a non-operating item in the second quarter of 2026 on the line "Gain (loss) on financial instruments, net" on the consolidated statement of income. Total unrealized gain recorded since inception amounts to $50 million.</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Credo Technology Inc. ("Credo") completed the acquisition of DustPhotonics, with the transaction settled through a combination of cash, Credo shares and contingent consideration. The Company held a 4.35% equity stake in DustPhotonics reported as a cost-method investment, with a carrying value amounting to $10 million at the date of the sale. Upon acquisition of DustPhotonics by Credo, the Company received $31 million in cash, and 37,250 Credo shares valued at $4 million. As a publicly traded equity instrument, Credo shares are measured at fair value through earnings, with a $5 million unrealized gain recorded as a non-operating item in the second quarter of 2026 on the line "Gain (loss) on financial instruments, net" on the consolidated statement of income.</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expected credit loss and impairment methodology applied on each category of financial assets is further described in each respective note. While cash and cash equivalents are also subject to the expected credit loss model, the identified expected credit loss is deemed to be negligible. The maximum credit risk exposure for all financial assets is their carrying amount.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is the risk that a counterparty will not meet its obligations under a financial instrument or customer contract leading to a financial loss. Credit risk typically arises from cash and cash equivalents, contractual cash flows of debt investments carried at amortized cost, the counterparty of derivative financial instruments and deposits with banks and financial institutions, as well as credit exposure to customers, including outstanding receivables.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credit risk from its operating activities (primarily for trade receivables) and from its financing activities, including deposits with banks and financial institutions, foreign exchange transactions and other financial instruments. Credit risk is managed at the Group level. The Company selects banks and/or financial institutions that operate with the group based on the criteria of long-term rating from at least two major Rating Agencies and keeping a maximum outstanding amount per instrument with each bank not to exceed 20% of the total. For derivative financial instruments, management has established limits so that, at any time, the fair value of contracts outstanding is not concentrated with any individual counterparty.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monitors the creditworthiness of its customers to which it grants credit terms in the normal course of business. If certain customers are independently rated, these ratings are used. Otherwise, if there is no independent rating, risk control assesses the credit quality of the customer, considering its financial position, past experience and other factors. Individual risk limits are set based on internal and external ratings in accordance with limits set by management. The utilization of credit limits is regularly monitored. Sales to customers are primarily settled in cash, which mitigates credit risk. There is no major concentration of credit risk, whether through exposure to individual customers, specific industry sectors, or regions. Any remaining concentrations of credit risk with respect to trade receivables are limited due to the large number of customers and their dispersion across many geographic areas.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receivables include receivables towards government bodies. As such, they are investments with immaterial credit loss. Any remaining receivable is of low credit risk or individually not significant. The credit ratings of financial assets carried at amortized cost are monitored for credit deterioration. </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Other market risk</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 a complete description of exposure to market risks, these interim financial statements should be read in conjunction with the consolidated financial statements in the Company’s Annual Report on Form 20-F for the year ended December 31, 2025.</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on fair value of derivative instruments and their classification in the consolidated balance sheets as of June 27, 2026 and December 31, 2025 is presented in the tables below: </w:t>
      </w:r>
    </w:p>
    <w:tbl>
      <w:tblPr>
        <w:tblW w:w="9082" w:type="dxa"/>
        <w:jc w:val="left"/>
        <w:tblInd w:w="0" w:type="dxa"/>
        <w:tblLayout w:type="fixed"/>
        <w:tblCellMar>
          <w:top w:w="28" w:type="dxa"/>
          <w:left w:w="28" w:type="dxa"/>
          <w:bottom w:w="28" w:type="dxa"/>
          <w:right w:w="28" w:type="dxa"/>
        </w:tblCellMar>
      </w:tblPr>
      <w:tblGrid>
        <w:gridCol w:w="1193"/>
        <w:gridCol w:w="1049"/>
        <w:gridCol w:w="1057"/>
        <w:gridCol w:w="134"/>
        <w:gridCol w:w="134"/>
        <w:gridCol w:w="136"/>
        <w:gridCol w:w="894"/>
        <w:gridCol w:w="894"/>
        <w:gridCol w:w="897"/>
        <w:gridCol w:w="109"/>
        <w:gridCol w:w="109"/>
        <w:gridCol w:w="109"/>
        <w:gridCol w:w="285"/>
        <w:gridCol w:w="285"/>
        <w:gridCol w:w="285"/>
        <w:gridCol w:w="109"/>
        <w:gridCol w:w="109"/>
        <w:gridCol w:w="109"/>
        <w:gridCol w:w="347"/>
        <w:gridCol w:w="347"/>
        <w:gridCol w:w="491"/>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Derivatives</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 designated as a hedge:</w:t>
            </w:r>
          </w:p>
        </w:tc>
        <w:tc>
          <w:tcPr>
            <w:tcW w:w="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collars</w:t>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derivatives designated as a hedge:</w:t>
            </w:r>
          </w:p>
        </w:tc>
        <w:tc>
          <w:tcPr>
            <w:tcW w:w="40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74</w:t>
            </w:r>
          </w:p>
        </w:tc>
      </w:tr>
      <w:tr>
        <w:trPr/>
        <w:tc>
          <w:tcPr>
            <w:tcW w:w="329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 not designated as a hedge:</w:t>
            </w:r>
          </w:p>
        </w:tc>
        <w:tc>
          <w:tcPr>
            <w:tcW w:w="4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29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derivatives not designated as a hedge:</w:t>
            </w:r>
          </w:p>
        </w:tc>
        <w:tc>
          <w:tcPr>
            <w:tcW w:w="4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r>
      <w:tr>
        <w:trPr/>
        <w:tc>
          <w:tcPr>
            <w:tcW w:w="32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Derivatives</w:t>
            </w:r>
          </w:p>
        </w:tc>
        <w:tc>
          <w:tcPr>
            <w:tcW w:w="40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32</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76</w:t>
            </w:r>
          </w:p>
        </w:tc>
      </w:tr>
      <w:tr>
        <w:trPr/>
        <w:tc>
          <w:tcPr>
            <w:tcW w:w="32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Liability Derivatives</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 designated as a hedge:</w:t>
            </w:r>
          </w:p>
        </w:tc>
        <w:tc>
          <w:tcPr>
            <w:tcW w:w="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collars</w:t>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derivatives designated as a hedge:</w:t>
            </w:r>
          </w:p>
        </w:tc>
        <w:tc>
          <w:tcPr>
            <w:tcW w:w="40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(38)</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r>
      <w:tr>
        <w:trPr/>
        <w:tc>
          <w:tcPr>
            <w:tcW w:w="329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 not designated as a hedge:</w:t>
            </w:r>
          </w:p>
        </w:tc>
        <w:tc>
          <w:tcPr>
            <w:tcW w:w="40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329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derivatives not designated as a hedge:</w:t>
            </w:r>
          </w:p>
        </w:tc>
        <w:tc>
          <w:tcPr>
            <w:tcW w:w="40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w:t>
            </w:r>
          </w:p>
        </w:tc>
        <w:tc>
          <w:tcPr>
            <w:tcW w:w="26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r>
          </w:p>
        </w:tc>
      </w:tr>
      <w:tr>
        <w:trPr/>
        <w:tc>
          <w:tcPr>
            <w:tcW w:w="329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Derivatives</w:t>
            </w:r>
          </w:p>
        </w:tc>
        <w:tc>
          <w:tcPr>
            <w:tcW w:w="404"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w:t>
            </w:r>
          </w:p>
        </w:tc>
        <w:tc>
          <w:tcPr>
            <w:tcW w:w="2685"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(51)</w:t>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entered into currency collars as combinations of two options, which are reported, for accounting purposes, on a net basis. As of June 27, 2026, the fair value of these collars represented liabilities for a net amount of $11 million (composed of $1 million asset net of a $12 million liability). In addition, the Company entered into other derivative instruments, primarily forward contracts, which are governed by standard International Swaps and Derivatives Association agreements and are compliant with Protocols of the European Market Infrastructure Regulation and the ISDA 2018 U.S. Resolution Stay Protocol, which are not offset in the consolidated balance sheets, and representing total assets of $32 million and total liabilities of $40 million as of June 27, 2026.</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effect of derivative instruments designated as cash flow hedge on the consolidated statements of income for the six months ended June 27, 2026 and June 28, 2025 and on the AOCI as reported in the consolidated statements of equity as of June 27, 2026 and December 31, 2025 before tax impact, is presented in the table below:</w:t>
      </w:r>
    </w:p>
    <w:tbl>
      <w:tblPr>
        <w:tblW w:w="10205" w:type="dxa"/>
        <w:jc w:val="left"/>
        <w:tblInd w:w="0" w:type="dxa"/>
        <w:tblLayout w:type="fixed"/>
        <w:tblCellMar>
          <w:top w:w="28" w:type="dxa"/>
          <w:left w:w="28" w:type="dxa"/>
          <w:bottom w:w="28" w:type="dxa"/>
          <w:right w:w="28" w:type="dxa"/>
        </w:tblCellMar>
      </w:tblPr>
      <w:tblGrid>
        <w:gridCol w:w="564"/>
        <w:gridCol w:w="494"/>
        <w:gridCol w:w="498"/>
        <w:gridCol w:w="109"/>
        <w:gridCol w:w="109"/>
        <w:gridCol w:w="109"/>
        <w:gridCol w:w="287"/>
        <w:gridCol w:w="207"/>
        <w:gridCol w:w="207"/>
        <w:gridCol w:w="207"/>
        <w:gridCol w:w="207"/>
        <w:gridCol w:w="207"/>
        <w:gridCol w:w="358"/>
        <w:gridCol w:w="358"/>
        <w:gridCol w:w="241"/>
        <w:gridCol w:w="109"/>
        <w:gridCol w:w="109"/>
        <w:gridCol w:w="109"/>
        <w:gridCol w:w="716"/>
        <w:gridCol w:w="525"/>
        <w:gridCol w:w="527"/>
        <w:gridCol w:w="109"/>
        <w:gridCol w:w="109"/>
        <w:gridCol w:w="109"/>
        <w:gridCol w:w="208"/>
        <w:gridCol w:w="208"/>
        <w:gridCol w:w="174"/>
        <w:gridCol w:w="136"/>
        <w:gridCol w:w="136"/>
        <w:gridCol w:w="136"/>
        <w:gridCol w:w="208"/>
        <w:gridCol w:w="208"/>
        <w:gridCol w:w="174"/>
        <w:gridCol w:w="132"/>
        <w:gridCol w:w="132"/>
        <w:gridCol w:w="132"/>
        <w:gridCol w:w="202"/>
        <w:gridCol w:w="202"/>
        <w:gridCol w:w="187"/>
        <w:gridCol w:w="132"/>
        <w:gridCol w:w="132"/>
        <w:gridCol w:w="132"/>
        <w:gridCol w:w="194"/>
        <w:gridCol w:w="194"/>
        <w:gridCol w:w="262"/>
      </w:tblGrid>
      <w:tr>
        <w:trPr/>
        <w:tc>
          <w:tcPr>
            <w:tcW w:w="56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deferred in OCI on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 OCI into earnings</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6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reclassified from OCI 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6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08"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9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9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15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4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55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(17)</w:t>
            </w:r>
          </w:p>
        </w:tc>
        <w:tc>
          <w:tcPr>
            <w:tcW w:w="62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80</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408"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17</w:t>
            </w:r>
          </w:p>
        </w:tc>
        <w:tc>
          <w:tcPr>
            <w:tcW w:w="396"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40</w:t>
            </w:r>
          </w:p>
        </w:tc>
        <w:tc>
          <w:tcPr>
            <w:tcW w:w="396"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(17)</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 total $17 million unrealized loss deferred in AOCI is expected to be reclassified to earnings within the next twelve months.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 amount was excluded from effectiveness measurement on foreign exchange forward contracts and currency collars. No ineffective portion of the cash flow hedge relationships was recorded on the hedge transactions that were settled in the first six months of 2026 and 2025. No ineffectiveness is to be reported on hedge transactions outstanding as of June 27, 2026.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effect on the consolidated statements of income for the six months ended June 27, 2026 and June 28, 2025, of derivative instruments not designated as a hedge is presented in the table below:</w:t>
      </w:r>
    </w:p>
    <w:tbl>
      <w:tblPr>
        <w:tblW w:w="8097"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574"/>
        <w:gridCol w:w="574"/>
        <w:gridCol w:w="576"/>
        <w:gridCol w:w="109"/>
        <w:gridCol w:w="109"/>
        <w:gridCol w:w="109"/>
        <w:gridCol w:w="255"/>
        <w:gridCol w:w="255"/>
        <w:gridCol w:w="255"/>
        <w:gridCol w:w="175"/>
        <w:gridCol w:w="175"/>
        <w:gridCol w:w="175"/>
        <w:gridCol w:w="240"/>
        <w:gridCol w:w="240"/>
        <w:gridCol w:w="240"/>
        <w:gridCol w:w="121"/>
        <w:gridCol w:w="121"/>
        <w:gridCol w:w="121"/>
        <w:gridCol w:w="254"/>
        <w:gridCol w:w="254"/>
        <w:gridCol w:w="256"/>
        <w:gridCol w:w="151"/>
        <w:gridCol w:w="151"/>
        <w:gridCol w:w="151"/>
        <w:gridCol w:w="210"/>
        <w:gridCol w:w="210"/>
        <w:gridCol w:w="299"/>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Gain (loss) recognized in earnings</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1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4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Foreign exchange </w:t>
              <w:br/>
              <w:t>forward contracts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and </w:t>
              <w:br/>
              <w:t>expenses, net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141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w:t>
            </w:r>
          </w:p>
        </w:tc>
        <w:tc>
          <w:tcPr>
            <w:tcW w:w="52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(21)</w:t>
            </w:r>
          </w:p>
        </w:tc>
        <w:tc>
          <w:tcPr>
            <w:tcW w:w="36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w:t>
            </w:r>
          </w:p>
        </w:tc>
        <w:tc>
          <w:tcPr>
            <w:tcW w:w="4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(26)</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enter into any derivative instrument containing credit-risk-related contingent features.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32.Fair Value Measurements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details financial assets (liabilities) measured at fair value on a recurring basis as of June 27, 2026:</w:t>
      </w:r>
    </w:p>
    <w:tbl>
      <w:tblPr>
        <w:tblW w:w="9583" w:type="dxa"/>
        <w:jc w:val="left"/>
        <w:tblInd w:w="0" w:type="dxa"/>
        <w:tblLayout w:type="fixed"/>
        <w:tblCellMar>
          <w:top w:w="28" w:type="dxa"/>
          <w:left w:w="28" w:type="dxa"/>
          <w:bottom w:w="28" w:type="dxa"/>
          <w:right w:w="28" w:type="dxa"/>
        </w:tblCellMar>
      </w:tblPr>
      <w:tblGrid>
        <w:gridCol w:w="1713"/>
        <w:gridCol w:w="1501"/>
        <w:gridCol w:w="1510"/>
        <w:gridCol w:w="254"/>
        <w:gridCol w:w="254"/>
        <w:gridCol w:w="256"/>
        <w:gridCol w:w="495"/>
        <w:gridCol w:w="495"/>
        <w:gridCol w:w="495"/>
        <w:gridCol w:w="489"/>
        <w:gridCol w:w="489"/>
        <w:gridCol w:w="491"/>
        <w:gridCol w:w="327"/>
        <w:gridCol w:w="327"/>
        <w:gridCol w:w="487"/>
      </w:tblGrid>
      <w:tr>
        <w:trPr/>
        <w:tc>
          <w:tcPr>
            <w:tcW w:w="171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1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 xml:space="preserve">Observable Inputs </w:t>
              <w:br/>
              <w:t>(Level 2)</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 xml:space="preserve">Inputs </w:t>
              <w:br/>
              <w:t>(Level 3)</w:t>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U.S. Treasury debt securities</w:t>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1,136</w:t>
            </w:r>
          </w:p>
        </w:tc>
        <w:tc>
          <w:tcPr>
            <w:tcW w:w="14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1,136</w:t>
            </w:r>
          </w:p>
        </w:tc>
        <w:tc>
          <w:tcPr>
            <w:tcW w:w="1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Short-term investments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measured at fair value through earnings</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designated as cash flow hedge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not designated as cash flow hedge</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designated as cash flow hedge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not designated as cash flow hedge</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for business acquisitions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472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6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1,383</w:t>
            </w:r>
          </w:p>
        </w:tc>
        <w:tc>
          <w:tcPr>
            <w:tcW w:w="14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1,286</w:t>
            </w:r>
          </w:p>
        </w:tc>
        <w:tc>
          <w:tcPr>
            <w:tcW w:w="146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156</w:t>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(59)</w:t>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financial assets (liabilities) measured at fair value on a recurring basis as of December 31, 2025: </w:t>
      </w:r>
    </w:p>
    <w:tbl>
      <w:tblPr>
        <w:tblW w:w="9688" w:type="dxa"/>
        <w:jc w:val="left"/>
        <w:tblInd w:w="0" w:type="dxa"/>
        <w:tblLayout w:type="fixed"/>
        <w:tblCellMar>
          <w:top w:w="28" w:type="dxa"/>
          <w:left w:w="28" w:type="dxa"/>
          <w:bottom w:w="28" w:type="dxa"/>
          <w:right w:w="28" w:type="dxa"/>
        </w:tblCellMar>
      </w:tblPr>
      <w:tblGrid>
        <w:gridCol w:w="1713"/>
        <w:gridCol w:w="1501"/>
        <w:gridCol w:w="1510"/>
        <w:gridCol w:w="379"/>
        <w:gridCol w:w="379"/>
        <w:gridCol w:w="381"/>
        <w:gridCol w:w="405"/>
        <w:gridCol w:w="405"/>
        <w:gridCol w:w="405"/>
        <w:gridCol w:w="489"/>
        <w:gridCol w:w="489"/>
        <w:gridCol w:w="491"/>
        <w:gridCol w:w="327"/>
        <w:gridCol w:w="327"/>
        <w:gridCol w:w="487"/>
      </w:tblGrid>
      <w:tr>
        <w:trPr/>
        <w:tc>
          <w:tcPr>
            <w:tcW w:w="171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12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 xml:space="preserve">Observable Inputs </w:t>
              <w:br/>
              <w:t>(Level 2)</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 xml:space="preserve">Inputs </w:t>
              <w:br/>
              <w:t>(Level 3)</w:t>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U.S. Treasury debt securities</w:t>
            </w:r>
          </w:p>
        </w:tc>
        <w:tc>
          <w:tcPr>
            <w:tcW w:w="11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985</w:t>
            </w:r>
          </w:p>
        </w:tc>
        <w:tc>
          <w:tcPr>
            <w:tcW w:w="12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985</w:t>
            </w:r>
          </w:p>
        </w:tc>
        <w:tc>
          <w:tcPr>
            <w:tcW w:w="14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Short-term investments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measured at fair value through earnings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designated as cash flow hedge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not designated as cash flow hedge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designated as cash flow hedge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not designated as cash flow hedge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for business acquisitions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472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3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1,506</w:t>
            </w:r>
          </w:p>
        </w:tc>
        <w:tc>
          <w:tcPr>
            <w:tcW w:w="121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1,150</w:t>
            </w:r>
          </w:p>
        </w:tc>
        <w:tc>
          <w:tcPr>
            <w:tcW w:w="146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374</w:t>
            </w:r>
          </w:p>
        </w:tc>
        <w:tc>
          <w:tcPr>
            <w:tcW w:w="114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w:t>
            </w:r>
          </w:p>
        </w:tc>
      </w:tr>
    </w:tbl>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For liabilities measured at fair value on a recurring basis using significant unobservable inputs (Level 3), the reconciliation between January 1, 2026 and June 27, 2026 is presented as follows:</w:t>
      </w:r>
    </w:p>
    <w:tbl>
      <w:tblPr>
        <w:tblW w:w="9825" w:type="dxa"/>
        <w:jc w:val="left"/>
        <w:tblInd w:w="0" w:type="dxa"/>
        <w:tblLayout w:type="fixed"/>
        <w:tblCellMar>
          <w:top w:w="28" w:type="dxa"/>
          <w:left w:w="28" w:type="dxa"/>
          <w:bottom w:w="28" w:type="dxa"/>
          <w:right w:w="28" w:type="dxa"/>
        </w:tblCellMar>
      </w:tblPr>
      <w:tblGrid>
        <w:gridCol w:w="1572"/>
        <w:gridCol w:w="1386"/>
        <w:gridCol w:w="1392"/>
        <w:gridCol w:w="1602"/>
        <w:gridCol w:w="1602"/>
        <w:gridCol w:w="2271"/>
      </w:tblGrid>
      <w:tr>
        <w:trPr/>
        <w:tc>
          <w:tcPr>
            <w:tcW w:w="15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 Significant Unobservable Inputs (Level 3)</w:t>
            </w:r>
          </w:p>
        </w:tc>
      </w:tr>
      <w:tr>
        <w:trPr/>
        <w:tc>
          <w:tcPr>
            <w:tcW w:w="43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January 1, 2026</w:t>
            </w:r>
          </w:p>
        </w:tc>
        <w:tc>
          <w:tcPr>
            <w:tcW w:w="54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on business combinations</w:t>
            </w:r>
          </w:p>
        </w:tc>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547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547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27, 2026</w:t>
            </w:r>
          </w:p>
        </w:tc>
        <w:tc>
          <w:tcPr>
            <w:tcW w:w="547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59</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For liabilities measured at fair value on a recurring basis using significant unobservable inputs (Level 3), there was no material movement between January 1, 2025 and June 28, 2025.</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Contingent consideration reported as non-current liabilities on the consolidated balance sheets as of June 27, 2026 and December 31, 2025 is based on the probability that the milestones defining the variable components of the consideration will be achieved.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2026, the Company completed the acquisition from NXP of its MEMS sensor business, as described in Note 7. The transaction included a contingent consideration in the form of an earn-out payment contingent upon the successful completion of a certain technology process transfer. The acquisition-date fair value of the contingent consideration was estimated using a scenario-based, probability-weighted approach, under which the expected payment amounts corresponding to the various timing scenarios for achievement of the acceptance criteria were discounted to present value using the relevant U.S dollar denominated cost of debt and then probability-weighted to derive the fair value. This corresponds to a Level 3 fair value measurement hierarchy.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No asset or liability was measured at fair value on a non-recurring basis using significant unobservable inputs (Level 3) as of June 27, 2026 and June 28, 2025, respectively.</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additional fair value information on other financial assets and liabilities as of June 27, 2026 and December 31, 2025: </w:t>
      </w:r>
    </w:p>
    <w:tbl>
      <w:tblPr>
        <w:tblW w:w="10205" w:type="dxa"/>
        <w:jc w:val="left"/>
        <w:tblInd w:w="0" w:type="dxa"/>
        <w:tblLayout w:type="fixed"/>
        <w:tblCellMar>
          <w:top w:w="28" w:type="dxa"/>
          <w:left w:w="28" w:type="dxa"/>
          <w:bottom w:w="28" w:type="dxa"/>
          <w:right w:w="28" w:type="dxa"/>
        </w:tblCellMar>
      </w:tblPr>
      <w:tblGrid>
        <w:gridCol w:w="1696"/>
        <w:gridCol w:w="1486"/>
        <w:gridCol w:w="1497"/>
        <w:gridCol w:w="109"/>
        <w:gridCol w:w="109"/>
        <w:gridCol w:w="109"/>
        <w:gridCol w:w="165"/>
        <w:gridCol w:w="165"/>
        <w:gridCol w:w="166"/>
        <w:gridCol w:w="109"/>
        <w:gridCol w:w="109"/>
        <w:gridCol w:w="109"/>
        <w:gridCol w:w="260"/>
        <w:gridCol w:w="260"/>
        <w:gridCol w:w="261"/>
        <w:gridCol w:w="109"/>
        <w:gridCol w:w="109"/>
        <w:gridCol w:w="109"/>
        <w:gridCol w:w="290"/>
        <w:gridCol w:w="290"/>
        <w:gridCol w:w="292"/>
        <w:gridCol w:w="109"/>
        <w:gridCol w:w="109"/>
        <w:gridCol w:w="109"/>
        <w:gridCol w:w="260"/>
        <w:gridCol w:w="260"/>
        <w:gridCol w:w="261"/>
        <w:gridCol w:w="122"/>
        <w:gridCol w:w="122"/>
        <w:gridCol w:w="122"/>
        <w:gridCol w:w="268"/>
        <w:gridCol w:w="268"/>
        <w:gridCol w:w="386"/>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467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6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46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Cash equivalents</w:t>
            </w:r>
            <w:r>
              <w:rPr>
                <w:rFonts w:ascii="Times New Roman;serif" w:hAnsi="Times New Roman;serif"/>
                <w:b/>
                <w:color w:val="000000"/>
                <w:sz w:val="13"/>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1 - 2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2,711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2,711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2,264</w:t>
            </w:r>
          </w:p>
        </w:tc>
        <w:tc>
          <w:tcPr>
            <w:tcW w:w="3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2,264</w:t>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Bank loans (including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1,281</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Finance leases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Senior unsecured convertible bonds issued on August 4, 2020</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731</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Senior unsecured convertible bonds issued on June 26, 2026</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6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Cash equivalents primarily correspond to deposits at call with banks, money market funds and other short-term investments.</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carrying amount as of June 27, 2026 and December 31, 2025 of the 2020 senior unsecured convertible bonds as reported above, corresponds to the nominal value of the bonds, net of less than $1 million and $1 million of unamortized debt issuance costs, respectively. The fair value represents the market price of the bonds trading on the Frankfurt Stock Exchange.</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carrying amount as of June 27, 2026 of the 2026 senior unsecured convertible bonds as reported above, corresponds to the nominal value of the bonds, net of $10 million unamortized debt issuance costs. The fair value represents the market price of the bonds trading on the Frankfurt Stock Exchange.</w:t>
      </w:r>
    </w:p>
    <w:p>
      <w:pPr>
        <w:pStyle w:val="TextBody"/>
        <w:bidi w:val="0"/>
        <w:spacing w:before="0" w:after="1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methodologies used to estimate fair values are as follows:</w:t>
      </w:r>
    </w:p>
    <w:tbl>
      <w:tblPr>
        <w:tblW w:w="10205" w:type="dxa"/>
        <w:jc w:val="left"/>
        <w:tblInd w:w="0" w:type="dxa"/>
        <w:tblLayout w:type="fixed"/>
        <w:tblCellMar>
          <w:top w:w="28" w:type="dxa"/>
          <w:left w:w="28" w:type="dxa"/>
          <w:bottom w:w="28" w:type="dxa"/>
          <w:right w:w="28" w:type="dxa"/>
        </w:tblCellMar>
      </w:tblPr>
      <w:tblGrid>
        <w:gridCol w:w="1124"/>
        <w:gridCol w:w="988"/>
        <w:gridCol w:w="994"/>
        <w:gridCol w:w="109"/>
        <w:gridCol w:w="109"/>
        <w:gridCol w:w="109"/>
        <w:gridCol w:w="2478"/>
        <w:gridCol w:w="1773"/>
        <w:gridCol w:w="2521"/>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106"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Methodology used to estimate fair value </w:t>
            </w:r>
          </w:p>
        </w:tc>
      </w:tr>
      <w:tr>
        <w:trPr/>
        <w:tc>
          <w:tcPr>
            <w:tcW w:w="31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classified as available-for-sale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Quoted market prices for identical instruments</w:t>
            </w:r>
          </w:p>
        </w:tc>
      </w:tr>
      <w:tr>
        <w:trPr/>
        <w:tc>
          <w:tcPr>
            <w:tcW w:w="31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currency options and collars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Quoted market prices for similar instruments</w:t>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Quoted market prices for identical instruments</w:t>
            </w:r>
          </w:p>
        </w:tc>
      </w:tr>
      <w:tr>
        <w:trPr/>
        <w:tc>
          <w:tcPr>
            <w:tcW w:w="31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carried at cost as a measurement alternative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of the underlying investments on a new round of third-party financing or upon liquidation</w:t>
            </w:r>
          </w:p>
        </w:tc>
      </w:tr>
      <w:tr>
        <w:trPr/>
        <w:tc>
          <w:tcPr>
            <w:tcW w:w="31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cash flows on a borrowing-by-borrowing basis and discounting these future cash flows using the Company's incremental borrowing rates for similar types of borrowing arrangements. For convertible bonds, the fair value represents the market price of the bonds trading on the Frankfurt Stock Exchange</w:t>
            </w:r>
          </w:p>
        </w:tc>
      </w:tr>
      <w:tr>
        <w:trPr/>
        <w:tc>
          <w:tcPr>
            <w:tcW w:w="31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short-term deposits, accounts receivable, short-term borrowings, and accounts payable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reflected in the consolidated financial statements are considered as reasonable estimates of fair value due to the relatively short period of time between the origination of the instruments and their expected realization</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33.Revenues</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33.1    Nature of goods and services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designs, develops, manufactures and markets a broad range of products, including discrete and standard commodity components, ASICs, full-custom devices and semi-custom devices and ASSPs for analog, digital and mixed-signal applications. In addition, the Company participates in the manufacturing value chain of smartcard products, which includes the production and sale of both silicon chips and smartcards.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principal activities – separated by reportable segments – from which the Company generates its revenues are described in Note 34.</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consist of license revenue, service revenue related to transferring licenses, patent royalty income, sale of scrap materials and manufacturing by-products.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While the majority of the Company’s sales agreements contain standard terms and conditions, the Company may, from time to time, enter into agreements that contain multiple performance obligations or terms and conditions. Those agreements concern principally the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Company expects to be entitled in exchange for transferring the promised goods or services to the customer.</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33.2    Revenue recognition and disaggregation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from products sold to a customer, including distributors, when it satisfies a performance obligation at a point in time by transferring control over a product to the customer. This usually occurs at the time of shipment. The performance obligations included in contracts for the sale of goods have the original expected length of less than one year. The transaction price is determined based on the contract terms, adjusted for price protection, if applicable. The revenues from services are usually linked to performance obligations transferred over time and are recognized in line with the contract terms.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2026 and 2025, the Company had several multi-annual capacity reservation and volume commitment arrangements with certain customers. These agreements constitute a binding commitment for the customers to purchase and for the Company to supply allocated committed volumes in exchange for additional consideration.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consideration related to commitment fees is reported as revenues from sale of products as it is usually based on delivered quantities. Advances from customers received as part of those agreements are reported in Note 24 and Note 27.</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payment terms typically range between 30 to 90 days.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consolidated net revenues disaggregated by geographical region of shipment, nature and market channel:</w:t>
      </w:r>
    </w:p>
    <w:p>
      <w:pPr>
        <w:pStyle w:val="TextBody"/>
        <w:bidi w:val="0"/>
        <w:spacing w:before="0" w:after="0"/>
        <w:jc w:val="both"/>
        <w:rPr/>
      </w:pPr>
      <w:r>
        <w:rPr/>
      </w:r>
    </w:p>
    <w:tbl>
      <w:tblPr>
        <w:tblW w:w="9145" w:type="dxa"/>
        <w:jc w:val="left"/>
        <w:tblInd w:w="0" w:type="dxa"/>
        <w:tblLayout w:type="fixed"/>
        <w:tblCellMar>
          <w:top w:w="28" w:type="dxa"/>
          <w:left w:w="28" w:type="dxa"/>
          <w:bottom w:w="28" w:type="dxa"/>
          <w:right w:w="28" w:type="dxa"/>
        </w:tblCellMar>
      </w:tblPr>
      <w:tblGrid>
        <w:gridCol w:w="1596"/>
        <w:gridCol w:w="1405"/>
        <w:gridCol w:w="1408"/>
        <w:gridCol w:w="109"/>
        <w:gridCol w:w="109"/>
        <w:gridCol w:w="109"/>
        <w:gridCol w:w="255"/>
        <w:gridCol w:w="255"/>
        <w:gridCol w:w="255"/>
        <w:gridCol w:w="175"/>
        <w:gridCol w:w="175"/>
        <w:gridCol w:w="175"/>
        <w:gridCol w:w="255"/>
        <w:gridCol w:w="255"/>
        <w:gridCol w:w="255"/>
        <w:gridCol w:w="109"/>
        <w:gridCol w:w="109"/>
        <w:gridCol w:w="109"/>
        <w:gridCol w:w="254"/>
        <w:gridCol w:w="254"/>
        <w:gridCol w:w="256"/>
        <w:gridCol w:w="151"/>
        <w:gridCol w:w="151"/>
        <w:gridCol w:w="151"/>
        <w:gridCol w:w="237"/>
        <w:gridCol w:w="237"/>
        <w:gridCol w:w="336"/>
      </w:tblGrid>
      <w:tr>
        <w:trPr/>
        <w:tc>
          <w:tcPr>
            <w:tcW w:w="15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0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4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revenues by geographical region of shipment</w:t>
            </w:r>
            <w:r>
              <w:rPr>
                <w:rFonts w:ascii="Times New Roman;serif" w:hAnsi="Times New Roman;serif"/>
                <w:b/>
                <w:color w:val="000000"/>
                <w:sz w:val="13"/>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 (“EMEA”)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774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469</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905</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2,244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4,140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3,255</w:t>
            </w:r>
          </w:p>
        </w:tc>
      </w:tr>
      <w:tr>
        <w:trPr/>
        <w:tc>
          <w:tcPr>
            <w:tcW w:w="4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3,487</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2,766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6,582</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5,283</w:t>
            </w:r>
          </w:p>
        </w:tc>
      </w:tr>
      <w:tr>
        <w:trPr/>
        <w:tc>
          <w:tcPr>
            <w:tcW w:w="44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 by nature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sale of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3,435</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6,446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5,202</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sale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4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3,487</w:t>
            </w:r>
          </w:p>
        </w:tc>
        <w:tc>
          <w:tcPr>
            <w:tcW w:w="5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2,766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6,582</w:t>
            </w:r>
          </w:p>
        </w:tc>
        <w:tc>
          <w:tcPr>
            <w:tcW w:w="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5,283</w:t>
            </w:r>
          </w:p>
        </w:tc>
      </w:tr>
      <w:tr>
        <w:trPr/>
        <w:tc>
          <w:tcPr>
            <w:tcW w:w="4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revenues by market channel</w:t>
            </w:r>
            <w:r>
              <w:rPr>
                <w:rFonts w:ascii="Times New Roman;serif" w:hAnsi="Times New Roman;serif"/>
                <w:b/>
                <w:color w:val="000000"/>
                <w:sz w:val="13"/>
              </w:rPr>
              <w:t>(2)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Manufacturers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2,453</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4,688</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3,784</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1,894</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1,499</w:t>
            </w:r>
          </w:p>
        </w:tc>
      </w:tr>
      <w:tr>
        <w:trPr/>
        <w:tc>
          <w:tcPr>
            <w:tcW w:w="440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3,487</w:t>
            </w:r>
          </w:p>
        </w:tc>
        <w:tc>
          <w:tcPr>
            <w:tcW w:w="52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2,766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6,582</w:t>
            </w:r>
          </w:p>
        </w:tc>
        <w:tc>
          <w:tcPr>
            <w:tcW w:w="4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5,283</w:t>
            </w:r>
          </w:p>
        </w:tc>
      </w:tr>
    </w:tbl>
    <w:p>
      <w:pPr>
        <w:pStyle w:val="TextBody"/>
        <w:bidi w:val="0"/>
        <w:spacing w:lineRule="auto" w:line="268" w:before="0" w:after="0"/>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6"/>
          <w:shd w:fill="FFFFFF" w:val="clear"/>
        </w:rPr>
        <w:t>Net revenues by ge</w:t>
      </w:r>
      <w:r>
        <w:rPr>
          <w:rFonts w:ascii="Times New Roman;serif" w:hAnsi="Times New Roman;serif"/>
          <w:b w:val="false"/>
          <w:color w:val="000000"/>
          <w:sz w:val="16"/>
        </w:rPr>
        <w:t>ographical region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Company, among the different periods, may be affected by shifts in shipments from one location to another, as requested by customers.</w:t>
      </w:r>
    </w:p>
    <w:p>
      <w:pPr>
        <w:pStyle w:val="TextBody"/>
        <w:bidi w:val="0"/>
        <w:spacing w:lineRule="auto" w:line="26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(2)OEM are the end-customers to which the Company provides direct marketing application engineering support, while Distribution refers to the distributors and representatives that the Company engages to distribute its products around the world.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pPr>
      <w:r>
        <w:rPr>
          <w:rFonts w:ascii="Times New Roman;serif" w:hAnsi="Times New Roman;serif"/>
          <w:b/>
          <w:color w:val="000000"/>
          <w:sz w:val="24"/>
        </w:rPr>
        <w:t>34.Segment Reporting</w:t>
      </w:r>
      <w:r>
        <w:rPr>
          <w:color w:val="000000"/>
        </w:rPr>
        <w:t xml:space="preserve">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Managing Board, which consists of the Chief Executive Officer, Jean-Marc Chery and the Chief Financial Officer, Lorenzo Grandi, under the oversight of the Company’s Supervisory Board, is considered to be the Company's Chief Operating Decision Maker ("CODM") and reviews the financial information presented on an operating segment basis for purposes of making decisions, assessing financial performance and allocating resources.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Company's reportable segments, within each product group, are as follows:</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In Analog, Power &amp; Discrete, MEMS and Sensors ("APMS") product group:</w:t>
      </w:r>
    </w:p>
    <w:p>
      <w:pPr>
        <w:pStyle w:val="TextBody"/>
        <w:bidi w:val="0"/>
        <w:spacing w:lineRule="auto" w:line="268" w:before="0" w:after="240"/>
        <w:ind w:left="0" w:right="0" w:hanging="360"/>
        <w:jc w:val="left"/>
        <w:rPr/>
      </w:pPr>
      <w:r>
        <w:rPr>
          <w:color w:val="000000"/>
        </w:rPr>
        <w:t>•</w:t>
      </w:r>
      <w:r>
        <w:rPr>
          <w:rFonts w:ascii="Times New Roman;serif" w:hAnsi="Times New Roman;serif"/>
          <w:b w:val="false"/>
          <w:i/>
          <w:color w:val="000000"/>
          <w:sz w:val="20"/>
        </w:rPr>
        <w:t>Analog products, MEMS and Sensors (“AM&amp;S”),</w:t>
      </w:r>
      <w:r>
        <w:rPr>
          <w:color w:val="000000"/>
        </w:rPr>
        <w:t xml:space="preserve"> </w:t>
      </w:r>
      <w:r>
        <w:rPr>
          <w:rFonts w:ascii="Times New Roman;serif" w:hAnsi="Times New Roman;serif"/>
          <w:b w:val="false"/>
          <w:color w:val="000000"/>
          <w:sz w:val="20"/>
        </w:rPr>
        <w:t>comprised of analog products, MEMS sensors and actuators, and optical sensing solutions.</w:t>
      </w:r>
    </w:p>
    <w:p>
      <w:pPr>
        <w:pStyle w:val="TextBody"/>
        <w:bidi w:val="0"/>
        <w:spacing w:lineRule="auto" w:line="268" w:before="0" w:after="240"/>
        <w:ind w:left="0" w:right="0" w:hanging="360"/>
        <w:jc w:val="left"/>
        <w:rPr/>
      </w:pPr>
      <w:r>
        <w:rPr>
          <w:color w:val="000000"/>
        </w:rPr>
        <w:t>•</w:t>
      </w:r>
      <w:r>
        <w:rPr>
          <w:rFonts w:ascii="Times New Roman;serif" w:hAnsi="Times New Roman;serif"/>
          <w:b w:val="false"/>
          <w:i/>
          <w:color w:val="000000"/>
          <w:sz w:val="20"/>
        </w:rPr>
        <w:t>Power and discrete products (“P&amp;D”),</w:t>
      </w:r>
      <w:r>
        <w:rPr>
          <w:color w:val="000000"/>
        </w:rPr>
        <w:t xml:space="preserve"> </w:t>
      </w:r>
      <w:r>
        <w:rPr>
          <w:rFonts w:ascii="Times New Roman;serif" w:hAnsi="Times New Roman;serif"/>
          <w:b w:val="false"/>
          <w:color w:val="000000"/>
          <w:sz w:val="20"/>
        </w:rPr>
        <w:t>comprised of discrete and power transistor products</w:t>
      </w:r>
      <w:r>
        <w:rPr>
          <w:rFonts w:ascii="Arial;sans-serif" w:hAnsi="Arial;sans-serif"/>
          <w:b w:val="false"/>
          <w:color w:val="000000"/>
          <w:sz w:val="20"/>
        </w:rPr>
        <w:t>.</w:t>
      </w:r>
    </w:p>
    <w:p>
      <w:pPr>
        <w:pStyle w:val="TextBody"/>
        <w:bidi w:val="0"/>
        <w:spacing w:lineRule="auto" w:line="268" w:before="0" w:after="240"/>
        <w:ind w:left="0" w:right="0" w:hanging="360"/>
        <w:jc w:val="both"/>
        <w:rPr/>
      </w:pPr>
      <w:r>
        <w:rPr>
          <w:color w:val="000000"/>
        </w:rPr>
        <w:t>•</w:t>
      </w:r>
      <w:r>
        <w:rPr>
          <w:rFonts w:ascii="Times New Roman;serif" w:hAnsi="Times New Roman;serif"/>
          <w:b w:val="false"/>
          <w:color w:val="000000"/>
          <w:sz w:val="20"/>
        </w:rPr>
        <w:t>In Microcontrollers, Digital ICs and RF products ("MDRF") product group:</w:t>
      </w:r>
    </w:p>
    <w:p>
      <w:pPr>
        <w:pStyle w:val="TextBody"/>
        <w:bidi w:val="0"/>
        <w:spacing w:lineRule="auto" w:line="268" w:before="0" w:after="240"/>
        <w:ind w:left="0" w:right="0" w:hanging="360"/>
        <w:jc w:val="left"/>
        <w:rPr/>
      </w:pPr>
      <w:r>
        <w:rPr>
          <w:color w:val="000000"/>
        </w:rPr>
        <w:t>•</w:t>
      </w:r>
      <w:r>
        <w:rPr>
          <w:rFonts w:ascii="Times New Roman;serif" w:hAnsi="Times New Roman;serif"/>
          <w:b w:val="false"/>
          <w:i/>
          <w:color w:val="000000"/>
          <w:sz w:val="20"/>
        </w:rPr>
        <w:t>Embedded Processing (“EMP”),</w:t>
      </w:r>
      <w:r>
        <w:rPr>
          <w:color w:val="000000"/>
        </w:rPr>
        <w:t xml:space="preserve"> </w:t>
      </w:r>
      <w:r>
        <w:rPr>
          <w:rFonts w:ascii="Times New Roman;serif" w:hAnsi="Times New Roman;serif"/>
          <w:b w:val="false"/>
          <w:color w:val="000000"/>
          <w:sz w:val="20"/>
        </w:rPr>
        <w:t>comprised of general-purpose and automotive microcontrollers, connected security products and Custom Processing Products (Automotive ADAS).</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80"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68" w:before="0" w:after="240"/>
        <w:ind w:left="0" w:right="0" w:hanging="360"/>
        <w:jc w:val="left"/>
        <w:rPr/>
      </w:pPr>
      <w:r>
        <w:rPr>
          <w:color w:val="000000"/>
        </w:rPr>
        <w:t>•</w:t>
      </w:r>
      <w:r>
        <w:rPr>
          <w:rFonts w:ascii="Times New Roman;serif" w:hAnsi="Times New Roman;serif"/>
          <w:b w:val="false"/>
          <w:i/>
          <w:color w:val="000000"/>
          <w:sz w:val="20"/>
        </w:rPr>
        <w:t>RF Optical Communications (“RFOC”)</w:t>
      </w:r>
      <w:r>
        <w:rPr>
          <w:rFonts w:ascii="Times New Roman;serif" w:hAnsi="Times New Roman;serif"/>
          <w:b w:val="false"/>
          <w:color w:val="000000"/>
          <w:sz w:val="20"/>
        </w:rPr>
        <w:t>, comprised of Space, Ranging &amp; Connectivity products, Digital Audio &amp; Signaling Solutions and Optical &amp; RF COT.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represent groups of similar products that are combined on the basis of similar design and development requirements, product characteristics and manufacturing processes amongst other factors. Consequently, the Company's reportable segments result from the aggregation of operating segments. The reportable segments also reflect how management allocates resources and measures performance.</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revenues of “Others” include revenues from sales assembly services and other revenues. For the computation of the segments’ internal financial measurements, the Company uses certain internal rules of allocation for the costs not directly chargeable to the segments, including cost of sales, SG&amp;A expenses and a part of R&amp;D expenses. In compliance with the Company’s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operating earnings of other products as well as the effects of purchase price allocation in case of business acquisitions.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CODM does not evaluate operating segments performance using discrete asset and significant expenses information. The CODM monitors the cost structure of the Company at the level of organizational functions, while economic performance is assessed through revenues and operating income at the level of reportable segments.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consolidated net revenues and consolidated operating income (loss) by reportable segment.</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revenues by reportable segment: </w:t>
      </w:r>
    </w:p>
    <w:tbl>
      <w:tblPr>
        <w:tblW w:w="8380" w:type="dxa"/>
        <w:jc w:val="left"/>
        <w:tblInd w:w="0" w:type="dxa"/>
        <w:tblLayout w:type="fixed"/>
        <w:tblCellMar>
          <w:top w:w="28" w:type="dxa"/>
          <w:left w:w="28" w:type="dxa"/>
          <w:bottom w:w="28" w:type="dxa"/>
          <w:right w:w="28" w:type="dxa"/>
        </w:tblCellMar>
      </w:tblPr>
      <w:tblGrid>
        <w:gridCol w:w="1435"/>
        <w:gridCol w:w="1117"/>
        <w:gridCol w:w="1092"/>
        <w:gridCol w:w="109"/>
        <w:gridCol w:w="109"/>
        <w:gridCol w:w="109"/>
        <w:gridCol w:w="255"/>
        <w:gridCol w:w="255"/>
        <w:gridCol w:w="255"/>
        <w:gridCol w:w="175"/>
        <w:gridCol w:w="175"/>
        <w:gridCol w:w="175"/>
        <w:gridCol w:w="255"/>
        <w:gridCol w:w="255"/>
        <w:gridCol w:w="255"/>
        <w:gridCol w:w="109"/>
        <w:gridCol w:w="109"/>
        <w:gridCol w:w="109"/>
        <w:gridCol w:w="254"/>
        <w:gridCol w:w="254"/>
        <w:gridCol w:w="256"/>
        <w:gridCol w:w="151"/>
        <w:gridCol w:w="151"/>
        <w:gridCol w:w="151"/>
        <w:gridCol w:w="237"/>
        <w:gridCol w:w="237"/>
        <w:gridCol w:w="336"/>
      </w:tblGrid>
      <w:tr>
        <w:trPr/>
        <w:tc>
          <w:tcPr>
            <w:tcW w:w="143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4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AM&amp;S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1,426</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2,744</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1,147</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2,122</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1,589</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RFOC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642</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of reportable segments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3,482</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2,763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6,573</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5,277</w:t>
            </w:r>
          </w:p>
        </w:tc>
      </w:tr>
      <w:tr>
        <w:trPr/>
        <w:tc>
          <w:tcPr>
            <w:tcW w:w="3644" w:type="dxa"/>
            <w:gridSpan w:val="3"/>
            <w:tcBorders>
              <w:top w:val="single" w:sz="4"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644" w:type="dxa"/>
            <w:gridSpan w:val="3"/>
            <w:tcBorders>
              <w:top w:val="single" w:sz="4" w:space="0" w:color="242424"/>
              <w:bottom w:val="single" w:sz="4"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consolidated net revenues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3,487</w:t>
            </w:r>
          </w:p>
        </w:tc>
        <w:tc>
          <w:tcPr>
            <w:tcW w:w="525"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2,766</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6,582</w:t>
            </w:r>
          </w:p>
        </w:tc>
        <w:tc>
          <w:tcPr>
            <w:tcW w:w="453"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5,283</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(loss) by reportable segment: </w:t>
      </w:r>
    </w:p>
    <w:tbl>
      <w:tblPr>
        <w:tblW w:w="8816" w:type="dxa"/>
        <w:jc w:val="left"/>
        <w:tblInd w:w="0" w:type="dxa"/>
        <w:tblLayout w:type="fixed"/>
        <w:tblCellMar>
          <w:top w:w="28" w:type="dxa"/>
          <w:left w:w="28" w:type="dxa"/>
          <w:bottom w:w="28" w:type="dxa"/>
          <w:right w:w="28" w:type="dxa"/>
        </w:tblCellMar>
      </w:tblPr>
      <w:tblGrid>
        <w:gridCol w:w="1606"/>
        <w:gridCol w:w="1251"/>
        <w:gridCol w:w="1223"/>
        <w:gridCol w:w="109"/>
        <w:gridCol w:w="109"/>
        <w:gridCol w:w="109"/>
        <w:gridCol w:w="255"/>
        <w:gridCol w:w="255"/>
        <w:gridCol w:w="255"/>
        <w:gridCol w:w="175"/>
        <w:gridCol w:w="175"/>
        <w:gridCol w:w="175"/>
        <w:gridCol w:w="255"/>
        <w:gridCol w:w="255"/>
        <w:gridCol w:w="255"/>
        <w:gridCol w:w="109"/>
        <w:gridCol w:w="109"/>
        <w:gridCol w:w="109"/>
        <w:gridCol w:w="254"/>
        <w:gridCol w:w="254"/>
        <w:gridCol w:w="256"/>
        <w:gridCol w:w="151"/>
        <w:gridCol w:w="151"/>
        <w:gridCol w:w="151"/>
        <w:gridCol w:w="237"/>
        <w:gridCol w:w="237"/>
        <w:gridCol w:w="336"/>
      </w:tblGrid>
      <w:tr>
        <w:trPr/>
        <w:tc>
          <w:tcPr>
            <w:tcW w:w="160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8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52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5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AM&amp;S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144</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179</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RFOC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income of reportable segments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365</w:t>
            </w:r>
          </w:p>
        </w:tc>
        <w:tc>
          <w:tcPr>
            <w:tcW w:w="5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667</w:t>
            </w:r>
          </w:p>
        </w:tc>
        <w:tc>
          <w:tcPr>
            <w:tcW w:w="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366</w:t>
            </w:r>
          </w:p>
        </w:tc>
      </w:tr>
      <w:tr>
        <w:trPr/>
        <w:tc>
          <w:tcPr>
            <w:tcW w:w="4080" w:type="dxa"/>
            <w:gridSpan w:val="3"/>
            <w:tcBorders>
              <w:top w:val="single" w:sz="4" w:space="0" w:color="242424"/>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5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(496)</w:t>
            </w:r>
          </w:p>
        </w:tc>
      </w:tr>
      <w:tr>
        <w:trPr/>
        <w:tc>
          <w:tcPr>
            <w:tcW w:w="4080" w:type="dxa"/>
            <w:gridSpan w:val="3"/>
            <w:tcBorders>
              <w:top w:val="single" w:sz="4" w:space="0" w:color="242424"/>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income (loss)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187</w:t>
            </w:r>
          </w:p>
        </w:tc>
        <w:tc>
          <w:tcPr>
            <w:tcW w:w="525"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(133)</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257</w:t>
            </w:r>
          </w:p>
        </w:tc>
        <w:tc>
          <w:tcPr>
            <w:tcW w:w="453"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(130)</w:t>
            </w:r>
          </w:p>
        </w:tc>
      </w:tr>
    </w:tbl>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(1)Operating income (loss) of “Others” includes items such as unused capacity charges, incidents leading to power outage, impairment, restructuring charges and other related phase-out costs, management reorganization costs, start-up costs, and other unallocated income (expenses) such as: strategic or special research and development programs, certain corporate-level operating expenses, patent claims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and litigations, and other costs that are not allocated to reportable segments (e.g. urgent freight costs, changes in fair value measurement on contingent consideration liabilities), operating earnings of other products as well as the effects of purchase price allocation in case of business acquisitions.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reconciliation of total operating income of reportable segments to the total consolidated operating income (loss) is presented in the below table:</w:t>
      </w:r>
    </w:p>
    <w:tbl>
      <w:tblPr>
        <w:tblW w:w="10205" w:type="dxa"/>
        <w:jc w:val="left"/>
        <w:tblInd w:w="0" w:type="dxa"/>
        <w:tblLayout w:type="fixed"/>
        <w:tblCellMar>
          <w:top w:w="28" w:type="dxa"/>
          <w:left w:w="28" w:type="dxa"/>
          <w:bottom w:w="28" w:type="dxa"/>
          <w:right w:w="28" w:type="dxa"/>
        </w:tblCellMar>
      </w:tblPr>
      <w:tblGrid>
        <w:gridCol w:w="2180"/>
        <w:gridCol w:w="1845"/>
        <w:gridCol w:w="1850"/>
        <w:gridCol w:w="109"/>
        <w:gridCol w:w="109"/>
        <w:gridCol w:w="109"/>
        <w:gridCol w:w="236"/>
        <w:gridCol w:w="232"/>
        <w:gridCol w:w="216"/>
        <w:gridCol w:w="156"/>
        <w:gridCol w:w="156"/>
        <w:gridCol w:w="156"/>
        <w:gridCol w:w="236"/>
        <w:gridCol w:w="232"/>
        <w:gridCol w:w="216"/>
        <w:gridCol w:w="109"/>
        <w:gridCol w:w="109"/>
        <w:gridCol w:w="109"/>
        <w:gridCol w:w="230"/>
        <w:gridCol w:w="226"/>
        <w:gridCol w:w="228"/>
        <w:gridCol w:w="139"/>
        <w:gridCol w:w="139"/>
        <w:gridCol w:w="139"/>
        <w:gridCol w:w="217"/>
        <w:gridCol w:w="212"/>
        <w:gridCol w:w="310"/>
      </w:tblGrid>
      <w:tr>
        <w:trPr/>
        <w:tc>
          <w:tcPr>
            <w:tcW w:w="218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87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68"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27, </w:t>
              <w:br/>
              <w:t>2026</w:t>
            </w:r>
          </w:p>
        </w:tc>
        <w:tc>
          <w:tcPr>
            <w:tcW w:w="41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28, </w:t>
              <w:br/>
              <w:t>2025</w:t>
            </w:r>
          </w:p>
        </w:tc>
      </w:tr>
      <w:tr>
        <w:trPr/>
        <w:tc>
          <w:tcPr>
            <w:tcW w:w="58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income of reportable segments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365</w:t>
            </w:r>
          </w:p>
        </w:tc>
        <w:tc>
          <w:tcPr>
            <w:tcW w:w="4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667</w:t>
            </w:r>
          </w:p>
        </w:tc>
        <w:tc>
          <w:tcPr>
            <w:tcW w:w="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366</w:t>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charges and other related phase-out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Unused capacity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w:t>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PPA effects of MEMS sensor business acquisition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manufacturing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fees on committed equipment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and other research and development programs and other non-allocated provisions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loss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(178)</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(410)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(496)</w:t>
            </w:r>
          </w:p>
        </w:tc>
      </w:tr>
      <w:tr>
        <w:trPr/>
        <w:tc>
          <w:tcPr>
            <w:tcW w:w="587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income (loss)</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187</w:t>
            </w:r>
          </w:p>
        </w:tc>
        <w:tc>
          <w:tcPr>
            <w:tcW w:w="468"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(133)</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257</w:t>
            </w:r>
          </w:p>
        </w:tc>
        <w:tc>
          <w:tcPr>
            <w:tcW w:w="41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(130)</w:t>
            </w:r>
          </w:p>
        </w:tc>
      </w:tr>
    </w:tbl>
    <w:p>
      <w:pPr>
        <w:pStyle w:val="TextBody"/>
        <w:bidi w:val="0"/>
        <w:spacing w:lineRule="auto" w:line="26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unallocated income and expenses such as certain corporate-level operating expenses and other income (costs) that are not allocated to the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2"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4"/>
        <w:gridCol w:w="205"/>
        <w:gridCol w:w="207"/>
        <w:gridCol w:w="2787"/>
        <w:gridCol w:w="2787"/>
        <w:gridCol w:w="398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192" w:before="20" w:after="283"/>
              <w:jc w:val="left"/>
              <w:rPr>
                <w:color w:val="000000"/>
              </w:rPr>
            </w:pPr>
            <w:r>
              <w:rPr>
                <w:color w:val="000000"/>
              </w:rPr>
              <w:t> </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Description</w:t>
            </w:r>
          </w:p>
          <w:p>
            <w:pPr>
              <w:pStyle w:val="TableContents"/>
              <w:bidi w:val="0"/>
              <w:spacing w:lineRule="auto" w:line="192" w:before="2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w:t>
            </w:r>
          </w:p>
        </w:tc>
        <w:tc>
          <w:tcPr>
            <w:tcW w:w="9559" w:type="dxa"/>
            <w:gridSpan w:val="3"/>
            <w:tcBorders/>
            <w:tcMar>
              <w:top w:w="0" w:type="dxa"/>
              <w:left w:w="0" w:type="dxa"/>
              <w:bottom w:w="0" w:type="dxa"/>
              <w:right w:w="0" w:type="dxa"/>
            </w:tcMar>
            <w:vAlign w:val="center"/>
          </w:tcPr>
          <w:p>
            <w:pPr>
              <w:pStyle w:val="TableContents"/>
              <w:bidi w:val="0"/>
              <w:spacing w:lineRule="auto" w:line="297" w:before="0" w:after="0"/>
              <w:jc w:val="both"/>
              <w:rPr/>
            </w:pPr>
            <w:hyperlink w:anchor="stm-ex12_1xq226.htm">
              <w:r>
                <w:rPr>
                  <w:rStyle w:val="InternetLink"/>
                  <w:rFonts w:ascii="Times New Roman;serif" w:hAnsi="Times New Roman;serif"/>
                  <w:b w:val="false"/>
                  <w:color w:val="0000FF"/>
                  <w:sz w:val="20"/>
                  <w:u w:val="single"/>
                </w:rPr>
                <w:t>Certification of Jean-Marc Chery, President and Chief Executive Officer and Chairman of the Managing Board of STMicroelectronics N.V., pursuant to Section 302 of the Sarbanes-Oxley Act of 2002.</w:t>
              </w:r>
            </w:hyperlink>
            <w:r>
              <w:rPr>
                <w:color w:val="000000"/>
              </w:rPr>
              <w:t xml:space="preserve">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12.2</w:t>
            </w:r>
          </w:p>
        </w:tc>
        <w:tc>
          <w:tcPr>
            <w:tcW w:w="9559" w:type="dxa"/>
            <w:gridSpan w:val="3"/>
            <w:tcBorders/>
            <w:tcMar>
              <w:top w:w="0" w:type="dxa"/>
              <w:left w:w="0" w:type="dxa"/>
              <w:bottom w:w="0" w:type="dxa"/>
              <w:right w:w="0" w:type="dxa"/>
            </w:tcMar>
            <w:vAlign w:val="center"/>
          </w:tcPr>
          <w:p>
            <w:pPr>
              <w:pStyle w:val="TableContents"/>
              <w:bidi w:val="0"/>
              <w:spacing w:lineRule="auto" w:line="297" w:before="0" w:after="0"/>
              <w:jc w:val="both"/>
              <w:rPr/>
            </w:pPr>
            <w:hyperlink w:anchor="stm-ex12_2xq226.htm">
              <w:r>
                <w:rPr>
                  <w:rStyle w:val="InternetLink"/>
                  <w:rFonts w:ascii="Times New Roman;serif" w:hAnsi="Times New Roman;serif"/>
                  <w:b w:val="false"/>
                  <w:color w:val="0000FF"/>
                  <w:sz w:val="20"/>
                  <w:u w:val="single"/>
                </w:rPr>
                <w:t xml:space="preserve">Certification of Lorenzo Grandi, President and Chief Financial Officer and Member of the Managing Board of STMicroelectronics N.V., pursuant to Section 302 of the Sarbanes-Oxley Act of 2002.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13.1</w:t>
            </w:r>
          </w:p>
        </w:tc>
        <w:tc>
          <w:tcPr>
            <w:tcW w:w="9559" w:type="dxa"/>
            <w:gridSpan w:val="3"/>
            <w:tcBorders/>
            <w:tcMar>
              <w:top w:w="0" w:type="dxa"/>
              <w:left w:w="0" w:type="dxa"/>
              <w:bottom w:w="0" w:type="dxa"/>
              <w:right w:w="0" w:type="dxa"/>
            </w:tcMar>
            <w:vAlign w:val="center"/>
          </w:tcPr>
          <w:p>
            <w:pPr>
              <w:pStyle w:val="TableContents"/>
              <w:bidi w:val="0"/>
              <w:spacing w:lineRule="auto" w:line="297" w:before="0" w:after="0"/>
              <w:jc w:val="both"/>
              <w:rPr/>
            </w:pPr>
            <w:hyperlink w:anchor="stm-ex13_1xq226.htm">
              <w:r>
                <w:rPr>
                  <w:rStyle w:val="InternetLink"/>
                  <w:rFonts w:ascii="Times New Roman;serif" w:hAnsi="Times New Roman;serif"/>
                  <w:b w:val="false"/>
                  <w:color w:val="0000FF"/>
                  <w:sz w:val="20"/>
                  <w:u w:val="single"/>
                </w:rPr>
                <w:t>Certification of Jean-Marc Chery, President and Chief Executive Officer and Chairman of the Managing Board of STMicroelectronics N.V., and Lorenzo Grandi, President and Chief Financial Officer and Member of the Managing Board of STMicroelectronics N.V., pursuant to 18 U.S.C. §1350, as adopted by Section 906 of the Sarbanes-Oxley Act of 2002.</w:t>
              </w:r>
            </w:hyperlink>
          </w:p>
        </w:tc>
      </w:tr>
    </w:tbl>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9058"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08"/>
        <w:gridCol w:w="208"/>
        <w:gridCol w:w="213"/>
        <w:gridCol w:w="1949"/>
        <w:gridCol w:w="1949"/>
        <w:gridCol w:w="27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STMicroelectronics N.V.</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Jean-Marc Chery</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Jean-Marc Chery</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President and Chief Executive Officer and Chairman of our Managing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Lorenzo Grandi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Lorenzo Grandi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President and Chief Financial Officer and Member of our Managing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12.1</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VOLUNTARY CERTIFICATION</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Jean-Marc Chery, certify that: </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6-K of STMicroelectronics N.V.;</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Unaudited Interim Consolidated Statements of Income, Statements of Comprehensive Income, Balance Sheets, Statements of Cash Flows and Statements of Equity and related Notes,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8998"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1949"/>
        <w:gridCol w:w="1949"/>
        <w:gridCol w:w="276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Jean-Marc Chery</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Jean-Marc Chery</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President and Chief Executive Officer and Chairman of our Managing Board</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both"/>
        <w:rPr>
          <w:color w:val="000000"/>
        </w:rPr>
      </w:pPr>
      <w:r>
        <w:rPr>
          <w:color w:val="000000"/>
        </w:rPr>
        <w:t>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12.2</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VOLUNTARY CERTIFICATION</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Lorenzo Grandi, certify that: </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6-K of STMicroelectronics N.V.;</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Unaudited Interim Consolidated Statements of Income, Statements of Comprehensive Income, Balance Sheets, Statements of Cash Flows and Statements of Equity and related Notes,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8817"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1891"/>
        <w:gridCol w:w="1891"/>
        <w:gridCol w:w="269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4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Lorenzo Grandi</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47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Lorenzo Grandi</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4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President and Chief Financial Officer and Member of our Managing Board</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both"/>
        <w:rPr>
          <w:color w:val="000000"/>
        </w:rPr>
      </w:pPr>
      <w:r>
        <w:rPr>
          <w:color w:val="000000"/>
        </w:rPr>
        <w:t> </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color w:val="000000"/>
                        </w:rPr>
                      </w:pPr>
                      <w:r>
                        <w:rPr>
                          <w:color w:val="000000"/>
                        </w:rPr>
                        <w:t> </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13.1</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VOLUNTARY CERTIFICATION OF JEAN-MARC CHERY, PRESIDENT AND CHIEF EXECUTIVE OFFICER AND CHAIRMAN OF THE MANAGING BOARD OF STMICROELECTRONICS N.V. AND LORENZO GRANDI, PRESIDENT AND CHIEF FINANCIAL OFFICER AND MEMBER OF THE MANAGING BOARD OF STMICROELECTRONICS N.V., PURSUANT TO SECTION 18 U.S.C. SECTION 1350, AS ADOPTED PURSUANT TO SECTION 906 OF THE SARBANES-OXLEY ACT OF 2002</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Report on Form 6-K of STMicroelectronics N.V. (the “Company”) for the period ending June 27, 2026, as submitted to the Securities and Exchange Commission on the date hereof (the “Report”), the undersigned hereby certify that to the best of our knowledge: </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of the Securities Exchange Act of 1934; and</w:t>
      </w:r>
    </w:p>
    <w:p>
      <w:pPr>
        <w:pStyle w:val="TextBody"/>
        <w:bidi w:val="0"/>
        <w:spacing w:lineRule="auto" w:line="240" w:before="12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8998"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1949"/>
        <w:gridCol w:w="1949"/>
        <w:gridCol w:w="276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Jean-Marc Chery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Jean-Marc Chery</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President and Chief Executive Officer and Chairman of our Managing Board</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Lorenzo Grandi</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Lorenzo Grandi</w:t>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both"/>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66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President and Chief Financial Officer and Member of our Managing Board</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33205</Words>
  <Characters>181362</Characters>
  <CharactersWithSpaces>211289</CharactersWithSpaces>
  <Paragraphs>4999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