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4617085</wp:posOffset>
                </wp:positionH>
                <wp:positionV relativeFrom="page">
                  <wp:posOffset>-44450</wp:posOffset>
                </wp:positionV>
                <wp:extent cx="118745" cy="175260"/>
                <wp:effectExtent l="0" t="0" r="0" b="0"/>
                <wp:wrapNone/>
                <wp:docPr id="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☐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5pt;height:13.8pt;mso-wrap-distance-left:0pt;mso-wrap-distance-right:0pt;mso-wrap-distance-top:0pt;mso-wrap-distance-bottom:0pt;margin-top:-3.5pt;mso-position-vertical-relative:page;margin-left:36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☐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3657600</wp:posOffset>
                </wp:positionH>
                <wp:positionV relativeFrom="page">
                  <wp:posOffset>-33655</wp:posOffset>
                </wp:positionV>
                <wp:extent cx="959485" cy="350520"/>
                <wp:effectExtent l="0" t="0" r="0" b="0"/>
                <wp:wrapNone/>
                <wp:docPr id="2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948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 xml:space="preserve">            </w:t>
                            </w:r>
                            <w:r>
                              <w:rPr/>
                              <w:t xml:space="preserve">Form 40-F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55pt;height:27.6pt;mso-wrap-distance-left:0pt;mso-wrap-distance-right:0pt;mso-wrap-distance-top:0pt;mso-wrap-distance-bottom:0pt;margin-top:-2.6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 xml:space="preserve">            </w:t>
                      </w:r>
                      <w:r>
                        <w:rPr/>
                        <w:t xml:space="preserve">Form 40-F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3461385</wp:posOffset>
                </wp:positionH>
                <wp:positionV relativeFrom="page">
                  <wp:posOffset>-33655</wp:posOffset>
                </wp:positionV>
                <wp:extent cx="14605" cy="175260"/>
                <wp:effectExtent l="0" t="0" r="0" b="0"/>
                <wp:wrapNone/>
                <wp:docPr id="3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-2.65pt;mso-position-vertical-relative:page;margin-left:272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3326130</wp:posOffset>
                </wp:positionH>
                <wp:positionV relativeFrom="page">
                  <wp:posOffset>-44450</wp:posOffset>
                </wp:positionV>
                <wp:extent cx="135890" cy="160655"/>
                <wp:effectExtent l="0" t="0" r="0" b="0"/>
                <wp:wrapNone/>
                <wp:docPr id="4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890" cy="160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Wingdings 2;sans-serif" w:hAnsi="Wingdings 2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Wingdings 2;sans-serif" w:hAnsi="Wingdings 2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Q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7pt;height:12.65pt;mso-wrap-distance-left:0pt;mso-wrap-distance-right:0pt;mso-wrap-distance-top:0pt;mso-wrap-distance-bottom:0pt;margin-top:-3.5pt;mso-position-vertical-relative:page;margin-left:26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Wingdings 2;sans-serif" w:hAnsi="Wingdings 2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Wingdings 2;sans-serif" w:hAnsi="Wingdings 2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Q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3291205</wp:posOffset>
                </wp:positionH>
                <wp:positionV relativeFrom="page">
                  <wp:posOffset>-36830</wp:posOffset>
                </wp:positionV>
                <wp:extent cx="34925" cy="175260"/>
                <wp:effectExtent l="0" t="0" r="0" b="0"/>
                <wp:wrapNone/>
                <wp:docPr id="5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75pt;height:13.8pt;mso-wrap-distance-left:0pt;mso-wrap-distance-right:0pt;mso-wrap-distance-top:0pt;mso-wrap-distance-bottom:0pt;margin-top:-2.9pt;mso-position-vertical-relative:page;margin-left:259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2743200</wp:posOffset>
                </wp:positionH>
                <wp:positionV relativeFrom="page">
                  <wp:posOffset>-33655</wp:posOffset>
                </wp:positionV>
                <wp:extent cx="548005" cy="146685"/>
                <wp:effectExtent l="0" t="0" r="0" b="0"/>
                <wp:wrapNone/>
                <wp:docPr id="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0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Form 20</w:t>
                              <w:noBreakHyphen/>
                              <w:t>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15pt;height:11.55pt;mso-wrap-distance-left:0pt;mso-wrap-distance-right:0pt;mso-wrap-distance-top:0pt;mso-wrap-distance-bottom:0pt;margin-top:-2.65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Form 20</w:t>
                        <w:noBreakHyphen/>
                        <w:t>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UNITED  STATES</w: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4050" cy="684530"/>
                <wp:effectExtent l="0" t="0" r="0" b="0"/>
                <wp:wrapNone/>
                <wp:docPr id="7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5pt;height:53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AND 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 6-K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FOREIGN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PRIVATE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ISSUER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RULE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15d-16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UNDER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 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 the month of August,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 File Number: 1-13546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STMicroelectronics N.V.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(Name of Registrant)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WTC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Schiphol Boulevard 265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1118 BH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The Netherlands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(Address of Principal Executive Offices)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562850" cy="1699895"/>
            <wp:effectExtent l="0" t="0" r="0" b="0"/>
            <wp:docPr id="8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9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Indicate by check mark whether the registrant files or will file annual reports under cover of Form 20-F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Indicate by check mark whether the registrant files or will file annual reports under cover of Form 20-F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81660" cy="293370"/>
                <wp:effectExtent l="0" t="0" r="0" b="0"/>
                <wp:wrapNone/>
                <wp:docPr id="11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Form 40-F: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8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Form 40-F: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1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Enclosure: A press release dated August 4, 2026, announcing the results of trading in STMicroelectronics' own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Enclosure: A press release dated August 4, 2026, announcing the results of trading in STMicroelectronics' own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340" cy="146685"/>
                <wp:effectExtent l="0" t="0" r="0" b="0"/>
                <wp:wrapNone/>
                <wp:docPr id="14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3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as part of the previously announced share buy-back program for the period from July, 27, 2026, to July,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as part of the previously announced share buy-back program for the period from July, 27, 2026, to July,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476250" cy="146685"/>
                <wp:effectExtent l="0" t="0" r="0" b="0"/>
                <wp:wrapNone/>
                <wp:docPr id="16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31, 2026.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31, 2026.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STMicroelectronics announces status</w: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819785" cy="292100"/>
                <wp:effectExtent l="0" t="0" r="0" b="0"/>
                <wp:wrapNone/>
                <wp:docPr id="17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 N°C3405C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5pt;height:23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 N°C3405C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of common share repurchase program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/>
          <w:sz w:val="20"/>
          <w:shd w:fill="E4E4E4" w:val="clear"/>
        </w:rPr>
      </w:pPr>
      <w:r>
        <w:rPr>
          <w:rFonts w:ascii="Arial;sans-serif" w:hAnsi="Arial;sans-serif"/>
          <w:b/>
          <w:i/>
          <w:sz w:val="20"/>
          <w:shd w:fill="E4E4E4" w:val="clear"/>
        </w:rPr>
        <w:t>Disclosure of Transactions in Own Shares – Period from July 27, 2026 to July 31, 2026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accordance with Article 5(1)(b) of the Market Abuse Regulation and Article 2(3) of </w: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5976620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8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47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(the Market Abuse Regulation) was to meet obligations arising from share option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(the Market Abuse Regulation) was to meet obligations arising from share option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0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21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programmes, or other allocations of shares, to employees or to members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programmes, or other allocations of shares, to employees or to members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2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3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administrative, management or supervisory bodies of the issuer or of an associate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administrative, management or supervisory bodies of the issuer or of an associate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48970" cy="350520"/>
                <wp:effectExtent l="0" t="0" r="0" b="0"/>
                <wp:wrapNone/>
                <wp:docPr id="25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1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26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shares may be held in treasury prior to being used for such purpose and,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shares may be held in treasury prior to being used for such purpose and,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7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1510" cy="175260"/>
                <wp:effectExtent l="0" t="0" r="0" b="0"/>
                <wp:wrapNone/>
                <wp:docPr id="28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extent that they are not ultimately needed for such purpose, they may be used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extent that they are not ultimately needed for such purpose, they may be used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9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062220" cy="350520"/>
                <wp:effectExtent l="0" t="0" r="0" b="0"/>
                <wp:wrapNone/>
                <wp:docPr id="30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22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any other lawful purpose under article 5(2) of the Market Abuse Regulation.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6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any other lawful purpose under article 5(2) of the Market Abuse Regulation.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1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2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Below is a summary of the repurchase transactions made in the course of the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Below is a summary of the repurchase transactions made in the course of the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3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4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in relation to the ordinary shares of STMicroelectronics (ISIN: NL0000226223),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in relation to the ordinary shares of STMicroelectronics (ISIN: NL0000226223),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5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22655" cy="350520"/>
                <wp:effectExtent l="0" t="0" r="0" b="0"/>
                <wp:wrapNone/>
                <wp:docPr id="36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detailed form.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6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detailed form.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42110" cy="350520"/>
                <wp:effectExtent l="0" t="0" r="0" b="0"/>
                <wp:wrapNone/>
                <wp:docPr id="37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Transactions in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Transactions in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2181860"/>
                <wp:effectExtent l="0" t="0" r="0" b="0"/>
                <wp:wrapNone/>
                <wp:docPr id="38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2181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55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036"/>
                              <w:gridCol w:w="1526"/>
                              <w:gridCol w:w="2036"/>
                              <w:gridCol w:w="1766"/>
                              <w:gridCol w:w="2186"/>
                            </w:tblGrid>
                            <w:tr>
                              <w:trPr/>
                              <w:tc>
                                <w:tcPr>
                                  <w:tcW w:w="20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27-Jul-26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28-Jul-26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29-Jul-26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30-Jul-26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31-Jul-26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Total for Period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3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71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55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036"/>
                        <w:gridCol w:w="1526"/>
                        <w:gridCol w:w="2036"/>
                        <w:gridCol w:w="1766"/>
                        <w:gridCol w:w="2186"/>
                      </w:tblGrid>
                      <w:tr>
                        <w:trPr/>
                        <w:tc>
                          <w:tcPr>
                            <w:tcW w:w="20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27-Jul-26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28-Jul-26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29-Jul-26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30-Jul-26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31-Jul-26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Total for Period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3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6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350520"/>
                <wp:effectExtent l="0" t="0" r="0" b="0"/>
                <wp:wrapNone/>
                <wp:docPr id="39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Following the share buybacks detailed above, the Company holds in total 19,610,605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Following the share buybacks detailed above, the Company holds in total 19,610,605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0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1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treasury shares, which represents approximately 2.2% of the Company’s issued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treasury shares, which represents approximately 2.2% of the Company’s issued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2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05510" cy="350520"/>
                <wp:effectExtent l="0" t="0" r="0" b="0"/>
                <wp:wrapNone/>
                <wp:docPr id="43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share capital.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share capital.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4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3576955</wp:posOffset>
                </wp:positionH>
                <wp:positionV relativeFrom="line">
                  <wp:posOffset>635</wp:posOffset>
                </wp:positionV>
                <wp:extent cx="3070225" cy="175260"/>
                <wp:effectExtent l="0" t="0" r="0" b="0"/>
                <wp:wrapNone/>
                <wp:docPr id="45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 N.V. (the “Company”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1.75pt;height:13.8pt;mso-wrap-distance-left:0pt;mso-wrap-distance-right:0pt;mso-wrap-distance-top:0pt;mso-wrap-distance-bottom:0pt;margin-top:0pt;mso-position-vertical:top;mso-position-vertical-relative:text;margin-left:281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 N.V. (the “Company”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6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895"/>
                <wp:effectExtent l="0" t="0" r="0" b="0"/>
                <wp:wrapNone/>
                <wp:docPr id="47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8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STMicroelectronics”), a global semiconductor leader serving customers across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STMicroelectronics”), a global semiconductor leader serving customers across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8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49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spectrum of electronics applications, announces full details of its common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spectrum of electronics applications, announces full details of its common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0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51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repurchase program (the “Program”) disclosed via a press release dated June 21,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repurchase program (the “Program”) disclosed via a press release dated June 21,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2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53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2024. The Program was approved by a shareholder resolution dated May 22,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2024. The Program was approved by a shareholder resolution dated May 22,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4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006600" cy="350520"/>
                <wp:effectExtent l="0" t="0" r="0" b="0"/>
                <wp:wrapNone/>
                <wp:docPr id="55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and by the supervisory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and by the supervisory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56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 N.V. (registered with the trade register under number 33194537)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 N.V. (registered with the trade register under number 33194537)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662555" cy="175260"/>
                <wp:effectExtent l="0" t="0" r="0" b="0"/>
                <wp:wrapNone/>
                <wp:docPr id="57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25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 xml:space="preserve">AMSTERDAM – August 4, 2026 –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6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 xml:space="preserve">AMSTERDAM – August 4, 2026 –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8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(LEI: 213800Z8NOHIKRI42W10) announces the repurchase (by a broker acting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(LEI: 213800Z8NOHIKRI42W10) announces the repurchase (by a broker acting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9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60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Company) on the regulated market of Euronext Paris, in the period between July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Company) on the regulated market of Euronext Paris, in the period between July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1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1510" cy="175260"/>
                <wp:effectExtent l="0" t="0" r="0" b="0"/>
                <wp:wrapNone/>
                <wp:docPr id="62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27, 2026 to July 31, 2026 (the “Period”), of  206,011 ordinary shares (equal to 0.02%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27, 2026 to July 31, 2026 (the “Period”), of  206,011 ordinary shares (equal to 0.02%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3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64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of its issued share capital) at the weighted average purchase price per share of EUR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of its issued share capital) at the weighted average purchase price per share of EUR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5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66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45.0676 and for an overall price of EUR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45.0676 and for an overall price of EUR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6047740" cy="175260"/>
                <wp:effectExtent l="0" t="0" r="0" b="0"/>
                <wp:wrapNone/>
                <wp:docPr id="67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774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                                                                                                                                          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2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                                                                                                                                          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31545" cy="350520"/>
                <wp:effectExtent l="0" t="0" r="0" b="0"/>
                <wp:wrapNone/>
                <wp:docPr id="68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9,284,422.75.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3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9,284,422.75.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69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purpose of these transactions under article 5(2) of Regulation (EU) 596/2014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purpose of these transactions under article 5(2) of Regulation (EU) 596/2014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228725" cy="350520"/>
                <wp:effectExtent l="0" t="0" r="0" b="0"/>
                <wp:wrapNone/>
                <wp:docPr id="70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Dates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transaction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Dates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transaction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1228725</wp:posOffset>
                </wp:positionH>
                <wp:positionV relativeFrom="line">
                  <wp:posOffset>635</wp:posOffset>
                </wp:positionV>
                <wp:extent cx="914400" cy="525780"/>
                <wp:effectExtent l="0" t="0" r="0" b="0"/>
                <wp:wrapNone/>
                <wp:docPr id="71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Number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purchased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41.4pt;mso-wrap-distance-left:0pt;mso-wrap-distance-right:0pt;mso-wrap-distance-top:0pt;mso-wrap-distance-bottom:0pt;margin-top:0pt;mso-position-vertical:top;mso-position-vertical-relative:text;margin-left: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Number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purchased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2143125</wp:posOffset>
                </wp:positionH>
                <wp:positionV relativeFrom="line">
                  <wp:posOffset>635</wp:posOffset>
                </wp:positionV>
                <wp:extent cx="1238250" cy="876300"/>
                <wp:effectExtent l="0" t="0" r="0" b="0"/>
                <wp:wrapNone/>
                <wp:docPr id="72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Weighted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average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purchase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per share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69pt;mso-wrap-distance-left:0pt;mso-wrap-distance-right:0pt;mso-wrap-distance-top:0pt;mso-wrap-distance-bottom:0pt;margin-top:0pt;mso-position-vertical:top;mso-position-vertical-relative:text;margin-left:1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Weighted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average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purchase price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per share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3381375</wp:posOffset>
                </wp:positionH>
                <wp:positionV relativeFrom="line">
                  <wp:posOffset>635</wp:posOffset>
                </wp:positionV>
                <wp:extent cx="1066800" cy="350520"/>
                <wp:effectExtent l="0" t="0" r="0" b="0"/>
                <wp:wrapNone/>
                <wp:docPr id="73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Total amount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paid 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27.6pt;mso-wrap-distance-left:0pt;mso-wrap-distance-right:0pt;mso-wrap-distance-top:0pt;mso-wrap-distance-bottom:0pt;margin-top:0pt;mso-position-vertical:top;mso-position-vertical-relative:text;margin-left:26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Total amount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paid 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4448175</wp:posOffset>
                </wp:positionH>
                <wp:positionV relativeFrom="line">
                  <wp:posOffset>635</wp:posOffset>
                </wp:positionV>
                <wp:extent cx="1304925" cy="701040"/>
                <wp:effectExtent l="0" t="0" r="0" b="0"/>
                <wp:wrapNone/>
                <wp:docPr id="74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701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Market on which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the shares were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bought (MIC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code)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.75pt;height:55.2pt;mso-wrap-distance-left:0pt;mso-wrap-distance-right:0pt;mso-wrap-distance-top:0pt;mso-wrap-distance-bottom:0pt;margin-top:0pt;mso-position-vertical:top;mso-position-vertical-relative:text;margin-left:3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Market on which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the shares were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bought (MIC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code)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Commission Delegated Regulation (EU) 2016/1052, a full breakdown of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individual trades in the Program are disclosed on the ST website (https://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investors.st.com/stock-and-bond-information/share-buyback).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About STMicroelectronics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At ST, we are 49,000 creators and makers of semiconductor technologies mastering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semiconductor supply chain with state-of-the-art manufacturing facilities. An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integrated device manufacturer, we work with more than 200,000 customers and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thousands of partners to design and build products, solutions, and ecosystems that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address their challenges and opportunities, and the need to support a more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sustainable world. Our technologies enable smarter mobility, more efficient power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energy management, and the wide-scale deployment of cloud-connected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autonomous things. We are on track to be carbon neutral in all direct and indirect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emissions (scopes 1 and 2), product transportation, business travel, and employee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commuting emissions (our scope 3 focus), and to achieve our 100% renewable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electricity sourcing goal by the end of 2027. Further information can be found 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www.st.com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For more information, please contact: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INVESTOR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Jérôme Ramel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EVP Corporate Development &amp; Integrated External Communication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+41.22.929.59.20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jerome.ramel@st.com    </w:t>
      </w:r>
    </w:p>
    <w:p>
      <w:pPr>
        <w:pStyle w:val="TextBody"/>
        <w:bidi w:val="0"/>
        <w:spacing w:lineRule="atLeast" w:line="175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MEDIA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Alexis Breton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Group VP Corporate External Communications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+33.6.59.16.79.08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alexis.breton@st.com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46685"/>
                <wp:effectExtent l="0" t="0" r="0" b="0"/>
                <wp:wrapNone/>
                <wp:docPr id="75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Pursuant to the requirements of the Securities Exchange Act of 1934, the registrant has duly caused this report to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Pursuant to the requirements of the Securities Exchange Act of 1934, the registrant has duly caused this report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6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538220" cy="293370"/>
                <wp:effectExtent l="0" t="0" r="0" b="0"/>
                <wp:wrapNone/>
                <wp:docPr id="77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82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 signed on its behalf by the undersigned, thereunto duly authorized.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 signed on its behalf by the undersigned, thereunto duly authorized.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886585"/>
                <wp:effectExtent l="0" t="0" r="0" b="0"/>
                <wp:wrapNone/>
                <wp:docPr id="78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04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01"/>
                              <w:gridCol w:w="109"/>
                              <w:gridCol w:w="109"/>
                              <w:gridCol w:w="3221"/>
                            </w:tblGrid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Date: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48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404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01"/>
                        <w:gridCol w:w="109"/>
                        <w:gridCol w:w="109"/>
                        <w:gridCol w:w="3221"/>
                      </w:tblGrid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Date: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3790950</wp:posOffset>
                </wp:positionH>
                <wp:positionV relativeFrom="line">
                  <wp:posOffset>635</wp:posOffset>
                </wp:positionV>
                <wp:extent cx="1962150" cy="146685"/>
                <wp:effectExtent l="0" t="0" r="0" b="0"/>
                <wp:wrapNone/>
                <wp:docPr id="79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5pt;height:11.55pt;mso-wrap-distance-left:0pt;mso-wrap-distance-right:0pt;mso-wrap-distance-top:0pt;mso-wrap-distance-bottom:0pt;margin-top:0pt;mso-position-vertical:top;mso-position-vertical-relative:text;margin-left:29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Wingdings 2">
    <w:altName w:val="sans-serif"/>
    <w:charset w:val="02"/>
    <w:family w:val="auto"/>
    <w:pitch w:val="default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739</Words>
  <Characters>4502</Characters>
  <CharactersWithSpaces>5322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