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July,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July 27, 2026, announcing the results of trading in STMicroelectronics' 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July 27, 2026, announcing the results of trading in STMicroelectronics' 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340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as part of the previously announced share buy-back program for the period from July, 20, 2026, to July,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as part of the previously announced share buy-back program for the period from July, 20, 2026, to July,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476250" cy="146685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24, 2026.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24, 2026.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N°C3404C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N°C3404C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July 20, 2026 to July 24,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4639310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2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36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3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015" cy="350520"/>
                <wp:effectExtent l="0" t="0" r="0" b="0"/>
                <wp:wrapNone/>
                <wp:docPr id="14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0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Abuse Regulation) was to meet obligations arising from share option programmes,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4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Abuse Regulation) was to meet obligations arising from share option programmes,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5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0745" cy="350520"/>
                <wp:effectExtent l="0" t="0" r="0" b="0"/>
                <wp:wrapNone/>
                <wp:docPr id="1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07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allocations of shares, to employees or to members of the administrative, management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3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allocations of shares, to employees or to members of the administrative, management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4077335" cy="350520"/>
                <wp:effectExtent l="0" t="0" r="0" b="0"/>
                <wp:wrapNone/>
                <wp:docPr id="18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733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supervisory bodies of the issuer or of an associate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.0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supervisory bodies of the issuer or of an associate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3920" cy="350520"/>
                <wp:effectExtent l="0" t="0" r="0" b="0"/>
                <wp:wrapNone/>
                <wp:docPr id="19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39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 extent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6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 extent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6649720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0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0520"/>
                <wp:effectExtent l="0" t="0" r="0" b="0"/>
                <wp:wrapNone/>
                <wp:docPr id="21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that they are not ultimately needed for such purpose, they may be used for any other lawful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that they are not ultimately needed for such purpose, they may be used for any other lawful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2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3953510" cy="350520"/>
                <wp:effectExtent l="0" t="0" r="0" b="0"/>
                <wp:wrapNone/>
                <wp:docPr id="23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3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3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0520"/>
                <wp:effectExtent l="0" t="0" r="0" b="0"/>
                <wp:wrapNone/>
                <wp:docPr id="24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 (the Market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 (the Market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0745" cy="175260"/>
                <wp:effectExtent l="0" t="0" r="0" b="0"/>
                <wp:wrapNone/>
                <wp:docPr id="25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0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35pt;height:13.8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6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255385" cy="350520"/>
                <wp:effectExtent l="0" t="0" r="0" b="0"/>
                <wp:wrapNone/>
                <wp:docPr id="27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53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relation to the ordinary shares of STMicroelectronics (ISIN: NL0000226223), in 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.5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relation to the ordinary shares of STMicroelectronics (ISIN: NL0000226223), in 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28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29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21"/>
                              <w:gridCol w:w="1526"/>
                              <w:gridCol w:w="2006"/>
                              <w:gridCol w:w="1841"/>
                              <w:gridCol w:w="2156"/>
                            </w:tblGrid>
                            <w:tr>
                              <w:trPr/>
                              <w:tc>
                                <w:tcPr>
                                  <w:tcW w:w="20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20-Jul-26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21-Jul-26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22-Jul-26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23-Jul-26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24-Jul-26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21"/>
                        <w:gridCol w:w="1526"/>
                        <w:gridCol w:w="2006"/>
                        <w:gridCol w:w="1841"/>
                        <w:gridCol w:w="2156"/>
                      </w:tblGrid>
                      <w:tr>
                        <w:trPr/>
                        <w:tc>
                          <w:tcPr>
                            <w:tcW w:w="20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20-Jul-26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21-Jul-26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22-Jul-26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23-Jul-26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24-Jul-26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0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19,404,594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19,404,594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1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2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2.1%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2.1%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3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4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0520"/>
                <wp:effectExtent l="0" t="0" r="0" b="0"/>
                <wp:wrapNone/>
                <wp:docPr id="35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 (LEI: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 (LEI: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3096260</wp:posOffset>
                </wp:positionH>
                <wp:positionV relativeFrom="line">
                  <wp:posOffset>635</wp:posOffset>
                </wp:positionV>
                <wp:extent cx="120015" cy="175260"/>
                <wp:effectExtent l="0" t="0" r="0" b="0"/>
                <wp:wrapNone/>
                <wp:docPr id="36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13.8pt;mso-wrap-distance-left:0pt;mso-wrap-distance-right:0pt;mso-wrap-distance-top:0pt;mso-wrap-distance-bottom:0pt;margin-top:0pt;mso-position-vertical:top;mso-position-vertical-relative:text;margin-left:243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3216275</wp:posOffset>
                </wp:positionH>
                <wp:positionV relativeFrom="line">
                  <wp:posOffset>635</wp:posOffset>
                </wp:positionV>
                <wp:extent cx="3430270" cy="175260"/>
                <wp:effectExtent l="0" t="0" r="0" b="0"/>
                <wp:wrapNone/>
                <wp:docPr id="37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2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.1pt;height:13.8pt;mso-wrap-distance-left:0pt;mso-wrap-distance-right:0pt;mso-wrap-distance-top:0pt;mso-wrap-distance-bottom:0pt;margin-top:0pt;mso-position-vertical:top;mso-position-vertical-relative:text;margin-left:2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8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1155"/>
                <wp:effectExtent l="0" t="0" r="0" b="0"/>
                <wp:wrapNone/>
                <wp:docPr id="39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11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 spectrum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 spectrum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0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0520"/>
                <wp:effectExtent l="0" t="0" r="0" b="0"/>
                <wp:wrapNone/>
                <wp:docPr id="41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of electronics applications, announces full details of its common share repurchase program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of electronics applications, announces full details of its common share repurchase program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2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1380" cy="175260"/>
                <wp:effectExtent l="0" t="0" r="0" b="0"/>
                <wp:wrapNone/>
                <wp:docPr id="43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13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“Program”) disclosed via a press release dated June 21, 2024. The Program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4pt;height:13.8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“Program”) disclosed via a press release dated June 21, 2024. The Program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4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51855" cy="350520"/>
                <wp:effectExtent l="0" t="0" r="0" b="0"/>
                <wp:wrapNone/>
                <wp:docPr id="45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1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approved by a shareholder resolution dated May 22, 2024 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.6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approved by a shareholder resolution dated May 22, 2024 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2410460" cy="175260"/>
                <wp:effectExtent l="0" t="0" r="0" b="0"/>
                <wp:wrapNone/>
                <wp:docPr id="46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04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July 27,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8pt;height:13.8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July 27,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7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015" cy="350520"/>
                <wp:effectExtent l="0" t="0" r="0" b="0"/>
                <wp:wrapNone/>
                <wp:docPr id="48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0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213800Z8NOHIKRI42W10) announces the repurchase (by a broker acting for the Company)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4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213800Z8NOHIKRI42W10) announces the repurchase (by a broker acting for the Company)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9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3285" cy="350520"/>
                <wp:effectExtent l="0" t="0" r="0" b="0"/>
                <wp:wrapNone/>
                <wp:docPr id="50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32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on the regulated market of Euronext Paris, in the period between July 20, 2026 to July 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on the regulated market of Euronext Paris, in the period between July 20, 2026 to July 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6649085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1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0520"/>
                <wp:effectExtent l="0" t="0" r="0" b="0"/>
                <wp:wrapNone/>
                <wp:docPr id="52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2026 (the “Period”), of  226,883 ordinary shares (equal to 0.02% of its issued share capital)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2026 (the “Period”), of  226,883 ordinary shares (equal to 0.02% of its issued share capital)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3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5962650" cy="350520"/>
                <wp:effectExtent l="0" t="0" r="0" b="0"/>
                <wp:wrapNone/>
                <wp:docPr id="5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at the weighted average purchase price per share of EUR 50.4457 and for an overall price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at the weighted average purchase price per share of EUR 50.4457 and for an overall price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6648450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5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1369060" cy="350520"/>
                <wp:effectExtent l="0" t="0" r="0" b="0"/>
                <wp:wrapNone/>
                <wp:docPr id="56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906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EUR 11,445,280.67.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8pt;height:27.6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EUR 11,445,280.67.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19200" cy="350520"/>
                <wp:effectExtent l="0" t="0" r="0" b="0"/>
                <wp:wrapNone/>
                <wp:docPr id="57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1219200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58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2133600</wp:posOffset>
                </wp:positionH>
                <wp:positionV relativeFrom="line">
                  <wp:posOffset>635</wp:posOffset>
                </wp:positionV>
                <wp:extent cx="1219200" cy="876300"/>
                <wp:effectExtent l="0" t="0" r="0" b="0"/>
                <wp:wrapNone/>
                <wp:docPr id="59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69pt;mso-wrap-distance-left:0pt;mso-wrap-distance-right:0pt;mso-wrap-distance-top:0pt;mso-wrap-distance-bottom:0pt;margin-top:0pt;mso-position-vertical:top;mso-position-vertical-relative:text;margin-left:1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3352800</wp:posOffset>
                </wp:positionH>
                <wp:positionV relativeFrom="line">
                  <wp:posOffset>635</wp:posOffset>
                </wp:positionV>
                <wp:extent cx="1114425" cy="350520"/>
                <wp:effectExtent l="0" t="0" r="0" b="0"/>
                <wp:wrapNone/>
                <wp:docPr id="60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27.6pt;mso-wrap-distance-left:0pt;mso-wrap-distance-right:0pt;mso-wrap-distance-top:0pt;mso-wrap-distance-bottom:0pt;margin-top:0pt;mso-position-vertical:top;mso-position-vertical-relative:text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4467225</wp:posOffset>
                </wp:positionH>
                <wp:positionV relativeFrom="line">
                  <wp:posOffset>635</wp:posOffset>
                </wp:positionV>
                <wp:extent cx="1285875" cy="876300"/>
                <wp:effectExtent l="0" t="0" r="0" b="0"/>
                <wp:wrapNone/>
                <wp:docPr id="61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which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69pt;mso-wrap-distance-left:0pt;mso-wrap-distance-right:0pt;mso-wrap-distance-top:0pt;mso-wrap-distance-bottom:0pt;margin-top:0pt;mso-position-vertical:top;mso-position-vertical-relative:text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which the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62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64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6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66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740</Words>
  <Characters>4501</Characters>
  <CharactersWithSpaces>5183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